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C34E5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napToGrid w:val="0"/>
          <w:kern w:val="0"/>
        </w:rPr>
      </w:pPr>
      <w:bookmarkStart w:id="0" w:name="_Toc484532612"/>
      <w:bookmarkStart w:id="1" w:name="_Toc15927"/>
      <w:r>
        <w:drawing>
          <wp:anchor distT="0" distB="0" distL="114300" distR="114300" simplePos="0" relativeHeight="251662336" behindDoc="0" locked="0" layoutInCell="1" allowOverlap="1">
            <wp:simplePos x="0" y="0"/>
            <wp:positionH relativeFrom="column">
              <wp:posOffset>-942975</wp:posOffset>
            </wp:positionH>
            <wp:positionV relativeFrom="paragraph">
              <wp:posOffset>-689610</wp:posOffset>
            </wp:positionV>
            <wp:extent cx="7274560" cy="10277475"/>
            <wp:effectExtent l="0" t="0" r="254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274560" cy="10277475"/>
                    </a:xfrm>
                    <a:prstGeom prst="rect">
                      <a:avLst/>
                    </a:prstGeom>
                    <a:noFill/>
                    <a:ln>
                      <a:noFill/>
                    </a:ln>
                  </pic:spPr>
                </pic:pic>
              </a:graphicData>
            </a:graphic>
          </wp:anchor>
        </w:drawing>
      </w:r>
    </w:p>
    <w:p w14:paraId="2E559B44">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napToGrid w:val="0"/>
          <w:kern w:val="0"/>
        </w:rPr>
      </w:pPr>
    </w:p>
    <w:p w14:paraId="23E9F94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napToGrid w:val="0"/>
          <w:kern w:val="0"/>
        </w:rPr>
      </w:pPr>
    </w:p>
    <w:p w14:paraId="652CBD6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sz w:val="32"/>
          <w:szCs w:val="32"/>
        </w:rPr>
      </w:pPr>
    </w:p>
    <w:p w14:paraId="094754B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snapToGrid w:val="0"/>
          <w:kern w:val="0"/>
          <w:sz w:val="44"/>
          <w:szCs w:val="44"/>
          <w:lang w:eastAsia="zh-CN"/>
        </w:rPr>
      </w:pPr>
      <w:r>
        <w:rPr>
          <w:rFonts w:hint="default" w:ascii="Times New Roman" w:hAnsi="Times New Roman" w:cs="Times New Roman"/>
          <w:b/>
          <w:snapToGrid w:val="0"/>
          <w:kern w:val="0"/>
          <w:sz w:val="44"/>
          <w:szCs w:val="44"/>
          <w:lang w:eastAsia="zh-CN"/>
        </w:rPr>
        <w:t>广东腾飞摩托车配件有限公司年电镀加工摩托车配件40万平方米迁建项目</w:t>
      </w:r>
      <w:r>
        <w:rPr>
          <w:rFonts w:hint="default" w:ascii="Times New Roman" w:hAnsi="Times New Roman" w:cs="Times New Roman"/>
          <w:b/>
          <w:snapToGrid w:val="0"/>
          <w:kern w:val="0"/>
          <w:sz w:val="44"/>
          <w:szCs w:val="44"/>
        </w:rPr>
        <w:t>环境影响报告</w:t>
      </w:r>
      <w:r>
        <w:rPr>
          <w:rFonts w:hint="default" w:ascii="Times New Roman" w:hAnsi="Times New Roman" w:cs="Times New Roman"/>
          <w:b/>
          <w:snapToGrid w:val="0"/>
          <w:kern w:val="0"/>
          <w:sz w:val="44"/>
          <w:szCs w:val="44"/>
          <w:lang w:eastAsia="zh-CN"/>
        </w:rPr>
        <w:t>书</w:t>
      </w:r>
    </w:p>
    <w:p w14:paraId="437E232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snapToGrid w:val="0"/>
          <w:kern w:val="0"/>
          <w:sz w:val="44"/>
          <w:szCs w:val="44"/>
          <w:lang w:eastAsia="zh-CN"/>
        </w:rPr>
      </w:pPr>
    </w:p>
    <w:p w14:paraId="0E97645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snapToGrid w:val="0"/>
          <w:kern w:val="0"/>
          <w:sz w:val="72"/>
          <w:szCs w:val="72"/>
          <w:lang w:eastAsia="zh-CN"/>
        </w:rPr>
      </w:pPr>
    </w:p>
    <w:p w14:paraId="0B9A0E3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snapToGrid w:val="0"/>
          <w:kern w:val="0"/>
          <w:sz w:val="72"/>
          <w:szCs w:val="72"/>
          <w:lang w:eastAsia="zh-CN"/>
        </w:rPr>
      </w:pPr>
      <w:r>
        <w:rPr>
          <w:rFonts w:hint="default" w:ascii="Times New Roman" w:hAnsi="Times New Roman" w:cs="Times New Roman"/>
          <w:b/>
          <w:bCs/>
          <w:snapToGrid w:val="0"/>
          <w:kern w:val="0"/>
          <w:sz w:val="72"/>
          <w:szCs w:val="72"/>
          <w:lang w:eastAsia="zh-CN"/>
        </w:rPr>
        <w:t>公众参与说明</w:t>
      </w:r>
    </w:p>
    <w:p w14:paraId="7C845A3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kern w:val="0"/>
          <w:sz w:val="32"/>
        </w:rPr>
      </w:pPr>
    </w:p>
    <w:p w14:paraId="6E3BC496">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kern w:val="0"/>
          <w:sz w:val="32"/>
        </w:rPr>
      </w:pPr>
    </w:p>
    <w:p w14:paraId="045B5AB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kern w:val="0"/>
          <w:sz w:val="32"/>
        </w:rPr>
      </w:pPr>
    </w:p>
    <w:p w14:paraId="409EACD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kern w:val="0"/>
          <w:sz w:val="30"/>
          <w:szCs w:val="30"/>
        </w:rPr>
      </w:pPr>
    </w:p>
    <w:p w14:paraId="15C7FE18">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default" w:ascii="Times New Roman" w:hAnsi="Times New Roman" w:cs="Times New Roman"/>
          <w:b/>
          <w:bCs/>
          <w:snapToGrid w:val="0"/>
          <w:kern w:val="0"/>
          <w:sz w:val="30"/>
          <w:szCs w:val="30"/>
          <w:lang w:eastAsia="zh-CN"/>
        </w:rPr>
      </w:pPr>
    </w:p>
    <w:p w14:paraId="31EC6687">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default" w:ascii="Times New Roman" w:hAnsi="Times New Roman" w:cs="Times New Roman"/>
          <w:b/>
          <w:bCs/>
          <w:snapToGrid w:val="0"/>
          <w:kern w:val="0"/>
          <w:sz w:val="30"/>
          <w:szCs w:val="30"/>
          <w:lang w:eastAsia="zh-CN"/>
        </w:rPr>
      </w:pPr>
    </w:p>
    <w:p w14:paraId="553F5A00">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default" w:ascii="Times New Roman" w:hAnsi="Times New Roman" w:cs="Times New Roman"/>
          <w:b/>
          <w:bCs/>
          <w:snapToGrid w:val="0"/>
          <w:kern w:val="0"/>
          <w:sz w:val="30"/>
          <w:szCs w:val="30"/>
          <w:lang w:eastAsia="zh-CN"/>
        </w:rPr>
      </w:pPr>
    </w:p>
    <w:p w14:paraId="49DB3255">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default" w:ascii="Times New Roman" w:hAnsi="Times New Roman" w:cs="Times New Roman"/>
          <w:b/>
          <w:bCs/>
          <w:snapToGrid w:val="0"/>
          <w:kern w:val="0"/>
          <w:sz w:val="30"/>
          <w:szCs w:val="30"/>
          <w:lang w:eastAsia="zh-CN"/>
        </w:rPr>
      </w:pPr>
    </w:p>
    <w:p w14:paraId="5E216B3F">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default" w:ascii="Times New Roman" w:hAnsi="Times New Roman" w:eastAsia="宋体" w:cs="Times New Roman"/>
          <w:b/>
          <w:bCs/>
          <w:snapToGrid w:val="0"/>
          <w:kern w:val="0"/>
          <w:sz w:val="30"/>
          <w:szCs w:val="30"/>
          <w:u w:val="single"/>
          <w:lang w:val="en-US" w:eastAsia="zh-CN"/>
        </w:rPr>
      </w:pPr>
      <w:r>
        <w:rPr>
          <w:rFonts w:hint="default" w:ascii="Times New Roman" w:hAnsi="Times New Roman" w:cs="Times New Roman"/>
          <w:b/>
          <w:bCs/>
          <w:snapToGrid w:val="0"/>
          <w:kern w:val="0"/>
          <w:sz w:val="30"/>
          <w:szCs w:val="30"/>
          <w:lang w:eastAsia="zh-CN"/>
        </w:rPr>
        <w:t>建设单位</w:t>
      </w:r>
      <w:r>
        <w:rPr>
          <w:rFonts w:hint="default" w:ascii="Times New Roman" w:hAnsi="Times New Roman" w:cs="Times New Roman"/>
          <w:b/>
          <w:bCs/>
          <w:snapToGrid w:val="0"/>
          <w:kern w:val="0"/>
          <w:sz w:val="30"/>
          <w:szCs w:val="30"/>
        </w:rPr>
        <w:t>：</w:t>
      </w:r>
      <w:r>
        <w:rPr>
          <w:rFonts w:hint="default" w:ascii="Times New Roman" w:hAnsi="Times New Roman" w:cs="Times New Roman"/>
          <w:b/>
          <w:bCs/>
          <w:snapToGrid w:val="0"/>
          <w:kern w:val="0"/>
          <w:sz w:val="30"/>
          <w:szCs w:val="30"/>
          <w:lang w:eastAsia="zh-CN"/>
        </w:rPr>
        <w:t>广东腾飞摩托车配件有限公司</w:t>
      </w:r>
    </w:p>
    <w:p w14:paraId="1CE4EB06">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default" w:ascii="Times New Roman" w:hAnsi="Times New Roman" w:eastAsia="宋体" w:cs="Times New Roman"/>
          <w:b/>
          <w:bCs/>
          <w:snapToGrid w:val="0"/>
          <w:kern w:val="0"/>
          <w:sz w:val="30"/>
          <w:szCs w:val="30"/>
          <w:u w:val="single"/>
          <w:lang w:val="en-US" w:eastAsia="zh-CN"/>
        </w:rPr>
      </w:pPr>
      <w:r>
        <w:rPr>
          <w:rFonts w:hint="default" w:ascii="Times New Roman" w:hAnsi="Times New Roman" w:cs="Times New Roman"/>
          <w:b/>
          <w:bCs/>
          <w:snapToGrid w:val="0"/>
          <w:kern w:val="0"/>
          <w:sz w:val="30"/>
          <w:szCs w:val="30"/>
          <w:lang w:eastAsia="zh-CN"/>
        </w:rPr>
        <w:t>编制时间</w:t>
      </w:r>
      <w:r>
        <w:rPr>
          <w:rFonts w:hint="default" w:ascii="Times New Roman" w:hAnsi="Times New Roman" w:cs="Times New Roman"/>
          <w:b/>
          <w:bCs/>
          <w:snapToGrid w:val="0"/>
          <w:kern w:val="0"/>
          <w:sz w:val="30"/>
          <w:szCs w:val="30"/>
        </w:rPr>
        <w:t>：</w:t>
      </w:r>
      <w:r>
        <w:rPr>
          <w:rFonts w:hint="default" w:ascii="Times New Roman" w:hAnsi="Times New Roman" w:cs="Times New Roman"/>
          <w:b/>
          <w:bCs/>
          <w:snapToGrid w:val="0"/>
          <w:kern w:val="0"/>
          <w:sz w:val="30"/>
          <w:szCs w:val="30"/>
          <w:lang w:val="en-US" w:eastAsia="zh-CN"/>
        </w:rPr>
        <w:t>202</w:t>
      </w:r>
      <w:r>
        <w:rPr>
          <w:rFonts w:hint="eastAsia" w:ascii="Times New Roman" w:hAnsi="Times New Roman" w:cs="Times New Roman"/>
          <w:b/>
          <w:bCs/>
          <w:snapToGrid w:val="0"/>
          <w:kern w:val="0"/>
          <w:sz w:val="30"/>
          <w:szCs w:val="30"/>
          <w:lang w:val="en-US" w:eastAsia="zh-CN"/>
        </w:rPr>
        <w:t>5</w:t>
      </w:r>
      <w:r>
        <w:rPr>
          <w:rFonts w:hint="default" w:ascii="Times New Roman" w:hAnsi="Times New Roman" w:cs="Times New Roman"/>
          <w:b/>
          <w:bCs/>
          <w:snapToGrid w:val="0"/>
          <w:kern w:val="0"/>
          <w:sz w:val="30"/>
          <w:szCs w:val="30"/>
          <w:lang w:val="en-US" w:eastAsia="zh-CN"/>
        </w:rPr>
        <w:t>年</w:t>
      </w:r>
      <w:r>
        <w:rPr>
          <w:rFonts w:hint="eastAsia" w:ascii="Times New Roman" w:hAnsi="Times New Roman" w:cs="Times New Roman"/>
          <w:b/>
          <w:bCs/>
          <w:snapToGrid w:val="0"/>
          <w:kern w:val="0"/>
          <w:sz w:val="30"/>
          <w:szCs w:val="30"/>
          <w:lang w:val="en-US" w:eastAsia="zh-CN"/>
        </w:rPr>
        <w:t>8</w:t>
      </w:r>
      <w:r>
        <w:rPr>
          <w:rFonts w:hint="default" w:ascii="Times New Roman" w:hAnsi="Times New Roman" w:cs="Times New Roman"/>
          <w:b/>
          <w:bCs/>
          <w:snapToGrid w:val="0"/>
          <w:kern w:val="0"/>
          <w:sz w:val="30"/>
          <w:szCs w:val="30"/>
          <w:lang w:val="en-US" w:eastAsia="zh-CN"/>
        </w:rPr>
        <w:t>月</w:t>
      </w:r>
    </w:p>
    <w:p w14:paraId="3BC02D4D">
      <w:pPr>
        <w:pStyle w:val="22"/>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目录</w:t>
      </w:r>
      <w:bookmarkEnd w:id="0"/>
      <w:bookmarkEnd w:id="1"/>
    </w:p>
    <w:p w14:paraId="2411BA07">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
          <w:bCs/>
          <w:color w:val="000000"/>
          <w:kern w:val="0"/>
          <w:sz w:val="30"/>
          <w:szCs w:val="30"/>
        </w:rPr>
        <w:fldChar w:fldCharType="begin"/>
      </w:r>
      <w:r>
        <w:rPr>
          <w:rFonts w:hint="default" w:ascii="Times New Roman" w:hAnsi="Times New Roman" w:cs="Times New Roman"/>
          <w:b/>
          <w:bCs/>
          <w:color w:val="000000"/>
          <w:kern w:val="0"/>
          <w:sz w:val="30"/>
          <w:szCs w:val="30"/>
        </w:rPr>
        <w:instrText xml:space="preserve">TOC \o "1-2" \h \u </w:instrText>
      </w:r>
      <w:r>
        <w:rPr>
          <w:rFonts w:hint="default" w:ascii="Times New Roman" w:hAnsi="Times New Roman" w:cs="Times New Roman"/>
          <w:b/>
          <w:bCs/>
          <w:color w:val="000000"/>
          <w:kern w:val="0"/>
          <w:sz w:val="30"/>
          <w:szCs w:val="30"/>
        </w:rPr>
        <w:fldChar w:fldCharType="separate"/>
      </w: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_Toc15927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目录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_Toc15927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4913BF37">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_Toc26166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1.概述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_Toc26166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5B1CA5E0">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_Toc27075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2.首次环境影响评价信息公开情况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_Toc27075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48302A2C">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_Toc5875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2.1公开内容及日期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_Toc5875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10660EFE">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_Toc10377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2.2公开方式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_Toc10377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398C12D8">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_Toc9795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2.3公众意见情况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_Toc9795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2A158FC0">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_Toc23506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3.征求意见稿公示情况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_Toc23506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7CC2F186">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_Toc7264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3.1公示内容及时限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_Toc7264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410AEF45">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_Toc11960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3.2公示方式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_Toc11960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77375DF0">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_Toc21659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3.3调查方式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_Toc21659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157C2206">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_Toc352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3.4公众提出意见情况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_Toc352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707B5D4E">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_Toc16440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lang w:val="en-US" w:eastAsia="zh-CN"/>
        </w:rPr>
        <w:t>4.其他公众参与情况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_Toc16440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6916BF28">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_Toc4841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lang w:val="en-US" w:eastAsia="zh-CN"/>
        </w:rPr>
        <w:t>5</w:t>
      </w:r>
      <w:r>
        <w:rPr>
          <w:rFonts w:hint="default" w:ascii="Times New Roman" w:hAnsi="Times New Roman" w:cs="Times New Roman" w:eastAsiaTheme="minorEastAsia"/>
        </w:rPr>
        <w:t>.公众意见处理情况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_Toc4841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501C96EE">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_Toc4380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lang w:val="en-US" w:eastAsia="zh-CN"/>
        </w:rPr>
        <w:t>6</w:t>
      </w:r>
      <w:r>
        <w:rPr>
          <w:rFonts w:hint="default" w:ascii="Times New Roman" w:hAnsi="Times New Roman" w:cs="Times New Roman" w:eastAsiaTheme="minorEastAsia"/>
        </w:rPr>
        <w:t>.报批前公开情况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_Toc4380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6D76B09A">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_Toc6444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lang w:val="en-US" w:eastAsia="zh-CN"/>
        </w:rPr>
        <w:t>7</w:t>
      </w:r>
      <w:r>
        <w:rPr>
          <w:rFonts w:hint="default" w:ascii="Times New Roman" w:hAnsi="Times New Roman" w:cs="Times New Roman" w:eastAsiaTheme="minorEastAsia"/>
        </w:rPr>
        <w:t>.其他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_Toc6444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0D6C3B78">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_Toc28393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rPr>
        <w:t>.诚信承诺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_Toc28393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14:paraId="65C836D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000000"/>
          <w:kern w:val="0"/>
          <w:szCs w:val="30"/>
        </w:rPr>
      </w:pPr>
      <w:r>
        <w:rPr>
          <w:rFonts w:hint="default" w:ascii="Times New Roman" w:hAnsi="Times New Roman" w:cs="Times New Roman"/>
          <w:bCs/>
          <w:color w:val="000000"/>
          <w:kern w:val="0"/>
          <w:szCs w:val="30"/>
        </w:rPr>
        <w:fldChar w:fldCharType="end"/>
      </w:r>
    </w:p>
    <w:p w14:paraId="2A7996B5">
      <w:pPr>
        <w:widowControl/>
        <w:spacing w:line="240" w:lineRule="auto"/>
        <w:ind w:firstLine="0" w:firstLineChars="0"/>
        <w:rPr>
          <w:rFonts w:hint="default" w:ascii="Times New Roman" w:hAnsi="Times New Roman" w:cs="Times New Roman"/>
          <w:b/>
          <w:bCs/>
          <w:color w:val="000000"/>
          <w:kern w:val="0"/>
          <w:szCs w:val="30"/>
        </w:rPr>
      </w:pPr>
      <w:r>
        <w:rPr>
          <w:rFonts w:hint="default" w:ascii="Times New Roman" w:hAnsi="Times New Roman" w:cs="Times New Roman"/>
          <w:b/>
          <w:bCs/>
          <w:color w:val="000000"/>
          <w:kern w:val="0"/>
          <w:szCs w:val="30"/>
        </w:rPr>
        <w:br w:type="page"/>
      </w:r>
    </w:p>
    <w:p w14:paraId="4313A6E3">
      <w:pPr>
        <w:pStyle w:val="22"/>
        <w:jc w:val="left"/>
        <w:rPr>
          <w:rFonts w:hint="default" w:ascii="Times New Roman" w:hAnsi="Times New Roman" w:cs="Times New Roman" w:eastAsiaTheme="minorEastAsia"/>
        </w:rPr>
      </w:pPr>
      <w:bookmarkStart w:id="2" w:name="_Toc345509669"/>
      <w:bookmarkStart w:id="3" w:name="_Toc17525"/>
      <w:bookmarkStart w:id="4" w:name="_Toc111718553"/>
      <w:bookmarkStart w:id="5" w:name="_Toc112310170"/>
      <w:bookmarkStart w:id="6" w:name="_Toc157242841"/>
      <w:bookmarkStart w:id="7" w:name="_Toc100601989"/>
      <w:bookmarkStart w:id="8" w:name="_Toc117668847"/>
      <w:bookmarkStart w:id="9" w:name="_Toc101531651"/>
      <w:bookmarkStart w:id="10" w:name="_Toc202665189"/>
      <w:bookmarkStart w:id="11" w:name="_Toc68859357"/>
      <w:bookmarkStart w:id="12" w:name="_Toc154203225"/>
      <w:bookmarkStart w:id="13" w:name="_Toc155253189"/>
      <w:bookmarkStart w:id="14" w:name="_Toc68942799"/>
      <w:bookmarkStart w:id="15" w:name="_Toc120023822"/>
      <w:bookmarkStart w:id="16" w:name="_Toc69031530"/>
      <w:bookmarkStart w:id="17" w:name="_Toc93420009"/>
      <w:bookmarkStart w:id="18" w:name="_Toc111019684"/>
      <w:bookmarkStart w:id="19" w:name="_Toc81660281"/>
      <w:bookmarkStart w:id="20" w:name="_Toc101704507"/>
      <w:bookmarkStart w:id="21" w:name="_Toc111704297"/>
      <w:bookmarkStart w:id="22" w:name="_Toc76523931"/>
      <w:bookmarkStart w:id="23" w:name="_Toc74623991"/>
      <w:bookmarkStart w:id="24" w:name="_Toc65730135"/>
      <w:bookmarkStart w:id="25" w:name="_Toc65730324"/>
      <w:bookmarkStart w:id="26" w:name="_Toc26166"/>
      <w:bookmarkStart w:id="27" w:name="_Toc87349472"/>
      <w:bookmarkStart w:id="28" w:name="_Toc50812910"/>
      <w:r>
        <w:rPr>
          <w:rFonts w:hint="default" w:ascii="Times New Roman" w:hAnsi="Times New Roman" w:cs="Times New Roman" w:eastAsiaTheme="minorEastAsia"/>
        </w:rPr>
        <w:t>1</w:t>
      </w:r>
      <w:bookmarkStart w:id="29" w:name="_Toc57042752"/>
      <w:bookmarkStart w:id="30" w:name="_Toc57102683"/>
      <w:r>
        <w:rPr>
          <w:rFonts w:hint="default" w:ascii="Times New Roman" w:hAnsi="Times New Roman" w:cs="Times New Roman" w:eastAsiaTheme="minorEastAsia"/>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9"/>
      <w:bookmarkEnd w:id="30"/>
      <w:r>
        <w:rPr>
          <w:rFonts w:hint="default" w:ascii="Times New Roman" w:hAnsi="Times New Roman" w:cs="Times New Roman" w:eastAsiaTheme="minorEastAsia"/>
        </w:rPr>
        <w:t>概述</w:t>
      </w:r>
      <w:bookmarkEnd w:id="26"/>
    </w:p>
    <w:bookmarkEnd w:id="27"/>
    <w:bookmarkEnd w:id="28"/>
    <w:p w14:paraId="6236EB05">
      <w:pPr>
        <w:pageBreakBefore w:val="0"/>
        <w:widowControl w:val="0"/>
        <w:kinsoku/>
        <w:wordWrap/>
        <w:overflowPunct/>
        <w:topLinePunct w:val="0"/>
        <w:autoSpaceDE/>
        <w:autoSpaceDN/>
        <w:bidi w:val="0"/>
        <w:adjustRightInd/>
        <w:snapToGrid/>
        <w:spacing w:line="348" w:lineRule="auto"/>
        <w:ind w:firstLine="480"/>
        <w:textAlignment w:val="auto"/>
        <w:rPr>
          <w:rFonts w:hint="default" w:ascii="Times New Roman" w:hAnsi="Times New Roman" w:cs="Times New Roman"/>
        </w:rPr>
      </w:pPr>
      <w:r>
        <w:rPr>
          <w:rFonts w:hint="default" w:ascii="Times New Roman" w:hAnsi="Times New Roman" w:cs="Times New Roman"/>
        </w:rPr>
        <w:t>为了提高环评工作的科学性和公正性，反映受本项目建设影响公众和有关专家的意见，根据《中华人民共和国环境保护法》、《中华人民共和国环境影响评价法》等法律法规的规定，按《环境影响评价公众参与办法》（生态环境部令第4号）、《关于发布配套文件的公告》（生态环境部公告2018年第48号）等文件的要求，在编制环境影响报告书的过程中，建设单位应当依法听取环境影响评价范围内的公民、法人和其他组织的意见，同时应当依法公开公众参与相关信息。</w:t>
      </w:r>
    </w:p>
    <w:p w14:paraId="2167E5D0">
      <w:pPr>
        <w:pageBreakBefore w:val="0"/>
        <w:widowControl w:val="0"/>
        <w:kinsoku/>
        <w:wordWrap/>
        <w:overflowPunct/>
        <w:topLinePunct w:val="0"/>
        <w:autoSpaceDE/>
        <w:autoSpaceDN/>
        <w:bidi w:val="0"/>
        <w:adjustRightInd/>
        <w:snapToGrid/>
        <w:spacing w:line="348" w:lineRule="auto"/>
        <w:ind w:firstLine="480"/>
        <w:textAlignment w:val="auto"/>
        <w:rPr>
          <w:rFonts w:hint="default" w:ascii="Times New Roman" w:hAnsi="Times New Roman" w:cs="Times New Roman" w:eastAsiaTheme="minorEastAsia"/>
          <w:lang w:val="en-US" w:eastAsia="zh-CN"/>
        </w:rPr>
      </w:pPr>
      <w:r>
        <w:rPr>
          <w:rFonts w:hint="default" w:ascii="Times New Roman" w:hAnsi="Times New Roman" w:cs="Times New Roman"/>
        </w:rPr>
        <w:t>为此，在项目环境影响评价期间，建设单位严格按照相关规定：在确定环境影响报告书编制单位后7个工作日内进行首次信息</w:t>
      </w:r>
      <w:r>
        <w:rPr>
          <w:rFonts w:hint="default" w:ascii="Times New Roman" w:hAnsi="Times New Roman" w:cs="Times New Roman" w:eastAsiaTheme="minorEastAsia"/>
          <w:lang w:val="en-US" w:eastAsia="zh-CN"/>
        </w:rPr>
        <w:t>公开</w:t>
      </w:r>
      <w:r>
        <w:rPr>
          <w:rFonts w:hint="default" w:ascii="Times New Roman" w:hAnsi="Times New Roman" w:cs="Times New Roman"/>
        </w:rPr>
        <w:t>；在项目环境影响报告书征求意见稿形成后，对征求意见稿进行公示；向生态环境主管</w:t>
      </w:r>
      <w:r>
        <w:rPr>
          <w:rFonts w:hint="default" w:ascii="Times New Roman" w:hAnsi="Times New Roman" w:cs="Times New Roman" w:eastAsiaTheme="minorEastAsia"/>
          <w:lang w:val="en-US" w:eastAsia="zh-CN"/>
        </w:rPr>
        <w:t>部门报批</w:t>
      </w:r>
      <w:r>
        <w:rPr>
          <w:rFonts w:hint="default" w:ascii="Times New Roman" w:hAnsi="Times New Roman" w:cs="Times New Roman"/>
          <w:lang w:val="en-US" w:eastAsia="zh-CN"/>
        </w:rPr>
        <w:t>环境</w:t>
      </w:r>
      <w:r>
        <w:rPr>
          <w:rFonts w:hint="default" w:ascii="Times New Roman" w:hAnsi="Times New Roman" w:cs="Times New Roman" w:eastAsiaTheme="minorEastAsia"/>
          <w:lang w:val="en-US" w:eastAsia="zh-CN"/>
        </w:rPr>
        <w:t>影响报告书前，对拟报批的环境影响报告书全文和公众参与说明进行公开。</w:t>
      </w:r>
    </w:p>
    <w:p w14:paraId="5B4E28F3">
      <w:pPr>
        <w:pStyle w:val="22"/>
        <w:pageBreakBefore w:val="0"/>
        <w:widowControl w:val="0"/>
        <w:kinsoku/>
        <w:wordWrap/>
        <w:overflowPunct/>
        <w:topLinePunct w:val="0"/>
        <w:autoSpaceDE/>
        <w:autoSpaceDN/>
        <w:bidi w:val="0"/>
        <w:adjustRightInd/>
        <w:snapToGrid/>
        <w:spacing w:line="348" w:lineRule="auto"/>
        <w:jc w:val="left"/>
        <w:textAlignment w:val="auto"/>
        <w:rPr>
          <w:rFonts w:hint="default" w:ascii="Times New Roman" w:hAnsi="Times New Roman" w:cs="Times New Roman" w:eastAsiaTheme="minorEastAsia"/>
        </w:rPr>
      </w:pPr>
      <w:bookmarkStart w:id="31" w:name="_Toc27075"/>
      <w:r>
        <w:rPr>
          <w:rFonts w:hint="default" w:ascii="Times New Roman" w:hAnsi="Times New Roman" w:cs="Times New Roman" w:eastAsiaTheme="minorEastAsia"/>
        </w:rPr>
        <w:t>2.首次环境影响评价信息公开情况</w:t>
      </w:r>
      <w:bookmarkEnd w:id="31"/>
    </w:p>
    <w:p w14:paraId="4AD933EC">
      <w:pPr>
        <w:pStyle w:val="21"/>
        <w:keepNext/>
        <w:keepLines/>
        <w:pageBreakBefore w:val="0"/>
        <w:widowControl w:val="0"/>
        <w:kinsoku/>
        <w:wordWrap/>
        <w:overflowPunct/>
        <w:topLinePunct w:val="0"/>
        <w:autoSpaceDE/>
        <w:autoSpaceDN/>
        <w:bidi w:val="0"/>
        <w:adjustRightInd/>
        <w:snapToGrid/>
        <w:spacing w:beforeLines="0" w:afterLines="0" w:line="348" w:lineRule="auto"/>
        <w:textAlignment w:val="auto"/>
        <w:rPr>
          <w:rFonts w:hint="default" w:ascii="Times New Roman" w:hAnsi="Times New Roman" w:cs="Times New Roman" w:eastAsiaTheme="minorEastAsia"/>
        </w:rPr>
      </w:pPr>
      <w:bookmarkStart w:id="32" w:name="_Toc5875"/>
      <w:r>
        <w:rPr>
          <w:rFonts w:hint="default" w:ascii="Times New Roman" w:hAnsi="Times New Roman" w:cs="Times New Roman" w:eastAsiaTheme="minorEastAsia"/>
        </w:rPr>
        <w:t>2.1公开内容及日期</w:t>
      </w:r>
      <w:bookmarkEnd w:id="32"/>
    </w:p>
    <w:p w14:paraId="057CBDCF">
      <w:pPr>
        <w:pageBreakBefore w:val="0"/>
        <w:widowControl w:val="0"/>
        <w:kinsoku/>
        <w:wordWrap/>
        <w:overflowPunct/>
        <w:topLinePunct w:val="0"/>
        <w:autoSpaceDE/>
        <w:autoSpaceDN/>
        <w:bidi w:val="0"/>
        <w:adjustRightInd/>
        <w:snapToGrid/>
        <w:spacing w:line="348" w:lineRule="auto"/>
        <w:ind w:firstLine="480"/>
        <w:textAlignment w:val="auto"/>
        <w:rPr>
          <w:rFonts w:hint="default" w:ascii="Times New Roman" w:hAnsi="Times New Roman" w:cs="Times New Roman"/>
        </w:rPr>
      </w:pPr>
      <w:r>
        <w:rPr>
          <w:rFonts w:hint="default" w:ascii="Times New Roman" w:hAnsi="Times New Roman" w:cs="Times New Roman"/>
        </w:rPr>
        <w:t>公开日期：20</w:t>
      </w:r>
      <w:r>
        <w:rPr>
          <w:rFonts w:hint="eastAsia" w:ascii="Times New Roman" w:hAnsi="Times New Roman" w:cs="Times New Roman"/>
          <w:lang w:val="en-US" w:eastAsia="zh-CN"/>
        </w:rPr>
        <w:t>25</w:t>
      </w:r>
      <w:r>
        <w:rPr>
          <w:rFonts w:hint="default" w:ascii="Times New Roman" w:hAnsi="Times New Roman" w:cs="Times New Roman"/>
        </w:rPr>
        <w:t>年</w:t>
      </w:r>
      <w:r>
        <w:rPr>
          <w:rFonts w:hint="eastAsia" w:ascii="Times New Roman" w:hAnsi="Times New Roman" w:cs="Times New Roman"/>
          <w:lang w:val="en-US" w:eastAsia="zh-CN"/>
        </w:rPr>
        <w:t>7</w:t>
      </w:r>
      <w:r>
        <w:rPr>
          <w:rFonts w:hint="default" w:ascii="Times New Roman" w:hAnsi="Times New Roman" w:cs="Times New Roman"/>
        </w:rPr>
        <w:t>月</w:t>
      </w:r>
      <w:r>
        <w:rPr>
          <w:rFonts w:hint="eastAsia" w:ascii="Times New Roman" w:hAnsi="Times New Roman" w:cs="Times New Roman"/>
          <w:lang w:val="en-US" w:eastAsia="zh-CN"/>
        </w:rPr>
        <w:t>22</w:t>
      </w:r>
      <w:r>
        <w:rPr>
          <w:rFonts w:hint="default" w:ascii="Times New Roman" w:hAnsi="Times New Roman" w:cs="Times New Roman"/>
        </w:rPr>
        <w:t>日。</w:t>
      </w:r>
    </w:p>
    <w:p w14:paraId="16535109">
      <w:pPr>
        <w:pageBreakBefore w:val="0"/>
        <w:widowControl w:val="0"/>
        <w:kinsoku/>
        <w:wordWrap/>
        <w:overflowPunct/>
        <w:topLinePunct w:val="0"/>
        <w:autoSpaceDE/>
        <w:autoSpaceDN/>
        <w:bidi w:val="0"/>
        <w:adjustRightInd/>
        <w:snapToGrid/>
        <w:spacing w:line="348" w:lineRule="auto"/>
        <w:ind w:firstLine="480"/>
        <w:textAlignment w:val="auto"/>
        <w:rPr>
          <w:rFonts w:hint="default" w:ascii="Times New Roman" w:hAnsi="Times New Roman" w:cs="Times New Roman"/>
        </w:rPr>
      </w:pPr>
      <w:r>
        <w:rPr>
          <w:rFonts w:hint="default" w:ascii="Times New Roman" w:hAnsi="Times New Roman" w:cs="Times New Roman"/>
        </w:rPr>
        <w:t>公开主要内容包括：建设项目的名称及概要；建设项目的建设单位名称和联系方式；</w:t>
      </w:r>
      <w:r>
        <w:rPr>
          <w:rFonts w:hint="default" w:ascii="Times New Roman" w:hAnsi="Times New Roman" w:cs="Times New Roman"/>
          <w:lang w:eastAsia="zh-CN"/>
        </w:rPr>
        <w:t>环境影响报告书编制单位的名称和联系方式；公众意见表的网络链接</w:t>
      </w:r>
      <w:r>
        <w:rPr>
          <w:rFonts w:hint="default" w:ascii="Times New Roman" w:hAnsi="Times New Roman" w:cs="Times New Roman"/>
        </w:rPr>
        <w:t>；</w:t>
      </w:r>
      <w:r>
        <w:rPr>
          <w:rFonts w:hint="default" w:ascii="Times New Roman" w:hAnsi="Times New Roman" w:cs="Times New Roman"/>
          <w:lang w:eastAsia="zh-CN"/>
        </w:rPr>
        <w:t>提交公众意见的方式和途径。</w:t>
      </w:r>
      <w:r>
        <w:rPr>
          <w:rFonts w:hint="default" w:ascii="Times New Roman" w:hAnsi="Times New Roman" w:cs="Times New Roman"/>
        </w:rPr>
        <w:t>公示截图详见图2-1。</w:t>
      </w:r>
    </w:p>
    <w:p w14:paraId="73370053">
      <w:pPr>
        <w:pStyle w:val="21"/>
        <w:keepNext/>
        <w:keepLines/>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rPr>
      </w:pPr>
      <w:bookmarkStart w:id="33" w:name="_Toc10377"/>
      <w:r>
        <w:rPr>
          <w:rFonts w:hint="default" w:ascii="Times New Roman" w:hAnsi="Times New Roman" w:cs="Times New Roman" w:eastAsiaTheme="minorEastAsia"/>
        </w:rPr>
        <w:t>2.2公开方式</w:t>
      </w:r>
      <w:bookmarkEnd w:id="33"/>
    </w:p>
    <w:p w14:paraId="6F70B881">
      <w:pPr>
        <w:keepNext w:val="0"/>
        <w:keepLines w:val="0"/>
        <w:pageBreakBefore w:val="0"/>
        <w:widowControl w:val="0"/>
        <w:kinsoku/>
        <w:wordWrap/>
        <w:overflowPunct/>
        <w:topLinePunct w:val="0"/>
        <w:autoSpaceDE/>
        <w:autoSpaceDN/>
        <w:bidi w:val="0"/>
        <w:adjustRightInd/>
        <w:snapToGrid/>
        <w:spacing w:line="348" w:lineRule="auto"/>
        <w:ind w:firstLine="480"/>
        <w:jc w:val="both"/>
        <w:textAlignment w:val="auto"/>
        <w:rPr>
          <w:rFonts w:hint="default" w:ascii="Times New Roman" w:hAnsi="Times New Roman" w:cs="Times New Roman"/>
        </w:rPr>
      </w:pPr>
      <w:r>
        <w:rPr>
          <w:rFonts w:hint="default" w:ascii="Times New Roman" w:hAnsi="Times New Roman" w:cs="Times New Roman"/>
        </w:rPr>
        <w:t>本项目首次环境影响评价信息公开方式采取网络方式，于</w:t>
      </w:r>
      <w:r>
        <w:rPr>
          <w:rFonts w:hint="eastAsia" w:ascii="Times New Roman" w:hAnsi="Times New Roman" w:cs="Times New Roman"/>
          <w:lang w:val="en-US" w:eastAsia="zh-CN"/>
        </w:rPr>
        <w:t>2025</w:t>
      </w:r>
      <w:r>
        <w:rPr>
          <w:rFonts w:hint="default" w:ascii="Times New Roman" w:hAnsi="Times New Roman" w:cs="Times New Roman"/>
        </w:rPr>
        <w:t>年</w:t>
      </w:r>
      <w:r>
        <w:rPr>
          <w:rFonts w:hint="eastAsia" w:ascii="Times New Roman" w:hAnsi="Times New Roman" w:cs="Times New Roman"/>
          <w:lang w:val="en-US" w:eastAsia="zh-CN"/>
        </w:rPr>
        <w:t>7</w:t>
      </w:r>
      <w:r>
        <w:rPr>
          <w:rFonts w:hint="default" w:ascii="Times New Roman" w:hAnsi="Times New Roman" w:cs="Times New Roman"/>
        </w:rPr>
        <w:t>月</w:t>
      </w:r>
      <w:r>
        <w:rPr>
          <w:rFonts w:hint="eastAsia" w:ascii="Times New Roman" w:hAnsi="Times New Roman" w:cs="Times New Roman"/>
          <w:lang w:val="en-US" w:eastAsia="zh-CN"/>
        </w:rPr>
        <w:t>22</w:t>
      </w:r>
      <w:r>
        <w:rPr>
          <w:rFonts w:hint="default" w:ascii="Times New Roman" w:hAnsi="Times New Roman" w:cs="Times New Roman"/>
        </w:rPr>
        <w:t>日在</w:t>
      </w:r>
      <w:r>
        <w:rPr>
          <w:rFonts w:hint="eastAsia" w:ascii="Times New Roman" w:hAnsi="Times New Roman" w:cs="Times New Roman"/>
          <w:lang w:eastAsia="zh-CN"/>
        </w:rPr>
        <w:t>广东腾飞摩托车配件有限公司官网进行公示</w:t>
      </w:r>
      <w:r>
        <w:rPr>
          <w:rFonts w:hint="default" w:ascii="Times New Roman" w:hAnsi="Times New Roman" w:cs="Times New Roman"/>
        </w:rPr>
        <w:t>，公示链接地址：</w:t>
      </w:r>
      <w:r>
        <w:rPr>
          <w:rFonts w:hint="default" w:ascii="Times New Roman" w:hAnsi="Times New Roman" w:eastAsia="宋体" w:cs="Times New Roman"/>
          <w:sz w:val="24"/>
          <w:szCs w:val="24"/>
        </w:rPr>
        <w:t>http://tf.mopei8.com/news/itemid-18.shtml</w:t>
      </w:r>
      <w:r>
        <w:rPr>
          <w:rFonts w:hint="default" w:ascii="Times New Roman" w:hAnsi="Times New Roman" w:cs="Times New Roman"/>
        </w:rPr>
        <w:t>。公示截图详见图2-1。</w:t>
      </w:r>
    </w:p>
    <w:p w14:paraId="217BC83C">
      <w:pPr>
        <w:keepNext w:val="0"/>
        <w:keepLines w:val="0"/>
        <w:pageBreakBefore w:val="0"/>
        <w:widowControl w:val="0"/>
        <w:kinsoku/>
        <w:wordWrap/>
        <w:overflowPunct/>
        <w:topLinePunct w:val="0"/>
        <w:autoSpaceDE/>
        <w:autoSpaceDN/>
        <w:bidi w:val="0"/>
        <w:adjustRightInd/>
        <w:snapToGrid/>
        <w:spacing w:line="348" w:lineRule="auto"/>
        <w:ind w:firstLine="480"/>
        <w:textAlignment w:val="auto"/>
        <w:rPr>
          <w:rFonts w:hint="default" w:ascii="Times New Roman" w:hAnsi="Times New Roman" w:cs="Times New Roman"/>
        </w:rPr>
      </w:pPr>
      <w:r>
        <w:rPr>
          <w:rFonts w:hint="default" w:ascii="Times New Roman" w:hAnsi="Times New Roman" w:cs="Times New Roman"/>
        </w:rPr>
        <w:t>载体选取符合性分析：本项目首次公开环境影响评价信息的方式采用</w:t>
      </w:r>
      <w:r>
        <w:rPr>
          <w:rFonts w:hint="eastAsia" w:ascii="Times New Roman" w:hAnsi="Times New Roman" w:cs="Times New Roman"/>
          <w:lang w:eastAsia="zh-CN"/>
        </w:rPr>
        <w:t>建设单位官方网站进行公示</w:t>
      </w:r>
      <w:r>
        <w:rPr>
          <w:rFonts w:hint="default" w:ascii="Times New Roman" w:hAnsi="Times New Roman" w:cs="Times New Roman"/>
        </w:rPr>
        <w:t>。因此本项目首次公开环境影响评价信息的载体选取符合《环境影响评价公众参与办法》要求。</w:t>
      </w:r>
    </w:p>
    <w:p w14:paraId="19D17B61">
      <w:pPr>
        <w:pStyle w:val="21"/>
        <w:keepNext/>
        <w:keepLines/>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rPr>
      </w:pPr>
      <w:bookmarkStart w:id="34" w:name="_Toc9795"/>
      <w:r>
        <w:rPr>
          <w:rFonts w:hint="default" w:ascii="Times New Roman" w:hAnsi="Times New Roman" w:cs="Times New Roman" w:eastAsiaTheme="minorEastAsia"/>
        </w:rPr>
        <w:t>2.3公众意见情况</w:t>
      </w:r>
      <w:bookmarkEnd w:id="34"/>
    </w:p>
    <w:p w14:paraId="11F78291">
      <w:pPr>
        <w:keepNext w:val="0"/>
        <w:keepLines w:val="0"/>
        <w:pageBreakBefore w:val="0"/>
        <w:widowControl w:val="0"/>
        <w:tabs>
          <w:tab w:val="left" w:pos="480"/>
        </w:tabs>
        <w:kinsoku/>
        <w:wordWrap/>
        <w:overflowPunct/>
        <w:topLinePunct w:val="0"/>
        <w:autoSpaceDE/>
        <w:autoSpaceDN/>
        <w:bidi w:val="0"/>
        <w:adjustRightInd/>
        <w:snapToGrid/>
        <w:spacing w:line="348" w:lineRule="auto"/>
        <w:ind w:firstLine="480"/>
        <w:textAlignment w:val="auto"/>
        <w:rPr>
          <w:rFonts w:hint="default" w:ascii="Times New Roman" w:hAnsi="Times New Roman" w:cs="Times New Roman"/>
          <w:b/>
        </w:rPr>
      </w:pPr>
      <w:r>
        <w:rPr>
          <w:rFonts w:hint="default" w:ascii="Times New Roman" w:hAnsi="Times New Roman" w:cs="Times New Roman"/>
        </w:rPr>
        <w:t>本项目在</w:t>
      </w:r>
      <w:r>
        <w:rPr>
          <w:rFonts w:hint="eastAsia" w:ascii="Times New Roman" w:hAnsi="Times New Roman" w:cs="Times New Roman"/>
          <w:lang w:eastAsia="zh-CN"/>
        </w:rPr>
        <w:t>广东腾飞摩托车配件有限公司官网平台</w:t>
      </w:r>
      <w:r>
        <w:rPr>
          <w:rFonts w:hint="default" w:ascii="Times New Roman" w:hAnsi="Times New Roman" w:cs="Times New Roman"/>
        </w:rPr>
        <w:t>进行首次环境影响评价信息公开期间未收到公众提出意见。</w:t>
      </w:r>
    </w:p>
    <w:tbl>
      <w:tblPr>
        <w:tblStyle w:val="12"/>
        <w:tblW w:w="9288" w:type="dxa"/>
        <w:tblInd w:w="0" w:type="dxa"/>
        <w:tblLayout w:type="fixed"/>
        <w:tblCellMar>
          <w:top w:w="0" w:type="dxa"/>
          <w:left w:w="108" w:type="dxa"/>
          <w:bottom w:w="0" w:type="dxa"/>
          <w:right w:w="108" w:type="dxa"/>
        </w:tblCellMar>
      </w:tblPr>
      <w:tblGrid>
        <w:gridCol w:w="9288"/>
      </w:tblGrid>
      <w:tr w14:paraId="1212B438">
        <w:tblPrEx>
          <w:tblCellMar>
            <w:top w:w="0" w:type="dxa"/>
            <w:left w:w="108" w:type="dxa"/>
            <w:bottom w:w="0" w:type="dxa"/>
            <w:right w:w="108" w:type="dxa"/>
          </w:tblCellMar>
        </w:tblPrEx>
        <w:trPr>
          <w:trHeight w:val="453" w:hRule="atLeast"/>
        </w:trPr>
        <w:tc>
          <w:tcPr>
            <w:tcW w:w="9288" w:type="dxa"/>
          </w:tcPr>
          <w:p w14:paraId="4D1BF92B">
            <w:pPr>
              <w:pStyle w:val="1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drawing>
                <wp:inline distT="0" distB="0" distL="114300" distR="114300">
                  <wp:extent cx="6463030" cy="8432165"/>
                  <wp:effectExtent l="0" t="0" r="13970" b="6985"/>
                  <wp:docPr id="3" name="图片 3" descr="广东腾飞摩托车配件有限公司迁改建项目环境影响评价公众参与首次公示_公司动态_广东腾飞摩托车配件有限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广东腾飞摩托车配件有限公司迁改建项目环境影响评价公众参与首次公示_公司动态_广东腾飞摩托车配件有限公"/>
                          <pic:cNvPicPr>
                            <a:picLocks noChangeAspect="1"/>
                          </pic:cNvPicPr>
                        </pic:nvPicPr>
                        <pic:blipFill>
                          <a:blip r:embed="rId9"/>
                          <a:stretch>
                            <a:fillRect/>
                          </a:stretch>
                        </pic:blipFill>
                        <pic:spPr>
                          <a:xfrm>
                            <a:off x="0" y="0"/>
                            <a:ext cx="6463030" cy="8432165"/>
                          </a:xfrm>
                          <a:prstGeom prst="rect">
                            <a:avLst/>
                          </a:prstGeom>
                        </pic:spPr>
                      </pic:pic>
                    </a:graphicData>
                  </a:graphic>
                </wp:inline>
              </w:drawing>
            </w:r>
          </w:p>
        </w:tc>
      </w:tr>
      <w:tr w14:paraId="31E9AEAC">
        <w:tblPrEx>
          <w:tblCellMar>
            <w:top w:w="0" w:type="dxa"/>
            <w:left w:w="108" w:type="dxa"/>
            <w:bottom w:w="0" w:type="dxa"/>
            <w:right w:w="108" w:type="dxa"/>
          </w:tblCellMar>
        </w:tblPrEx>
        <w:tc>
          <w:tcPr>
            <w:tcW w:w="9288" w:type="dxa"/>
          </w:tcPr>
          <w:p w14:paraId="3E6CAEAC">
            <w:pPr>
              <w:pStyle w:val="19"/>
              <w:rPr>
                <w:rFonts w:hint="default" w:ascii="Times New Roman" w:hAnsi="Times New Roman" w:cs="Times New Roman"/>
              </w:rPr>
            </w:pPr>
            <w:r>
              <w:rPr>
                <w:rFonts w:hint="default" w:ascii="Times New Roman" w:hAnsi="Times New Roman" w:cs="Times New Roman"/>
                <w:b/>
              </w:rPr>
              <w:t>图2-1  首次环境影响评价信息公开网络公示截图</w:t>
            </w:r>
          </w:p>
        </w:tc>
      </w:tr>
    </w:tbl>
    <w:p w14:paraId="49C899BB">
      <w:pPr>
        <w:pStyle w:val="22"/>
        <w:jc w:val="left"/>
        <w:rPr>
          <w:rFonts w:hint="default" w:ascii="Times New Roman" w:hAnsi="Times New Roman" w:cs="Times New Roman" w:eastAsiaTheme="minorEastAsia"/>
        </w:rPr>
      </w:pPr>
      <w:bookmarkStart w:id="35" w:name="_Toc151441021"/>
      <w:bookmarkStart w:id="36" w:name="_Toc283586057"/>
      <w:bookmarkStart w:id="37" w:name="_Toc6258"/>
      <w:bookmarkStart w:id="38" w:name="_Toc136764884"/>
      <w:bookmarkStart w:id="39" w:name="_Toc342748552"/>
      <w:bookmarkStart w:id="40" w:name="_Toc31640"/>
      <w:bookmarkStart w:id="41" w:name="_Toc271279129"/>
      <w:bookmarkStart w:id="42" w:name="_Toc152059239"/>
      <w:bookmarkStart w:id="43" w:name="_Toc139878600"/>
      <w:bookmarkStart w:id="44" w:name="_Toc23506"/>
      <w:r>
        <w:rPr>
          <w:rFonts w:hint="default" w:ascii="Times New Roman" w:hAnsi="Times New Roman" w:cs="Times New Roman" w:eastAsiaTheme="minorEastAsia"/>
        </w:rPr>
        <w:t>3.</w:t>
      </w:r>
      <w:bookmarkEnd w:id="35"/>
      <w:bookmarkEnd w:id="36"/>
      <w:bookmarkEnd w:id="37"/>
      <w:bookmarkEnd w:id="38"/>
      <w:bookmarkEnd w:id="39"/>
      <w:bookmarkEnd w:id="40"/>
      <w:bookmarkEnd w:id="41"/>
      <w:bookmarkEnd w:id="42"/>
      <w:bookmarkEnd w:id="43"/>
      <w:r>
        <w:rPr>
          <w:rFonts w:hint="default" w:ascii="Times New Roman" w:hAnsi="Times New Roman" w:cs="Times New Roman" w:eastAsiaTheme="minorEastAsia"/>
        </w:rPr>
        <w:t>征求意见稿公示情况</w:t>
      </w:r>
      <w:bookmarkEnd w:id="44"/>
    </w:p>
    <w:p w14:paraId="4BF30B06">
      <w:pPr>
        <w:pStyle w:val="21"/>
        <w:keepNext/>
        <w:keepLines/>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rPr>
      </w:pPr>
      <w:bookmarkStart w:id="45" w:name="_Toc7264"/>
      <w:r>
        <w:rPr>
          <w:rFonts w:hint="default" w:ascii="Times New Roman" w:hAnsi="Times New Roman" w:cs="Times New Roman" w:eastAsiaTheme="minorEastAsia"/>
        </w:rPr>
        <w:t>3.1公示内容及时限</w:t>
      </w:r>
      <w:bookmarkEnd w:id="45"/>
    </w:p>
    <w:p w14:paraId="3BA173E3">
      <w:pPr>
        <w:ind w:firstLine="480"/>
        <w:rPr>
          <w:rFonts w:hint="default" w:ascii="Times New Roman" w:hAnsi="Times New Roman" w:cs="Times New Roman"/>
        </w:rPr>
      </w:pPr>
      <w:r>
        <w:rPr>
          <w:rFonts w:hint="default" w:ascii="Times New Roman" w:hAnsi="Times New Roman" w:cs="Times New Roman"/>
        </w:rPr>
        <w:t>公示主要内容：环境影响报告书征求意见稿全文的网络链接及查阅纸质报告书的方式和途径；征求意见的公众范围；公众意见表的网络链接；公众提出意见的方式和途径；公众提出意见的起止时间。</w:t>
      </w:r>
    </w:p>
    <w:p w14:paraId="7E6DED29">
      <w:pPr>
        <w:ind w:firstLine="480"/>
        <w:jc w:val="both"/>
        <w:rPr>
          <w:rFonts w:hint="default" w:ascii="Times New Roman" w:hAnsi="Times New Roman" w:cs="Times New Roman"/>
        </w:rPr>
      </w:pPr>
      <w:r>
        <w:rPr>
          <w:rFonts w:hint="default" w:ascii="Times New Roman" w:hAnsi="Times New Roman" w:cs="Times New Roman"/>
        </w:rPr>
        <w:t>报告书征求意见稿可联系建设单位获取或自行下载（链接：</w:t>
      </w:r>
      <w:r>
        <w:rPr>
          <w:rFonts w:hint="eastAsia" w:ascii="Times New Roman" w:hAnsi="Times New Roman" w:cs="Times New Roman"/>
          <w:color w:val="000000" w:themeColor="text1"/>
          <w:sz w:val="24"/>
          <w:szCs w:val="24"/>
          <w14:textFill>
            <w14:solidFill>
              <w14:schemeClr w14:val="tx1"/>
            </w14:solidFill>
          </w14:textFill>
        </w:rPr>
        <w:t>http://tf.mopei8.com/news/itemid-19.shtml</w:t>
      </w:r>
      <w:r>
        <w:rPr>
          <w:rFonts w:hint="default" w:ascii="Times New Roman" w:hAnsi="Times New Roman" w:cs="Times New Roman"/>
        </w:rPr>
        <w:t>。</w:t>
      </w:r>
    </w:p>
    <w:p w14:paraId="2D01A4B3">
      <w:pPr>
        <w:ind w:firstLine="480"/>
        <w:rPr>
          <w:rFonts w:hint="default" w:ascii="Times New Roman" w:hAnsi="Times New Roman" w:cs="Times New Roman"/>
        </w:rPr>
      </w:pPr>
      <w:r>
        <w:rPr>
          <w:rFonts w:hint="default" w:ascii="Times New Roman" w:hAnsi="Times New Roman" w:cs="Times New Roman"/>
        </w:rPr>
        <w:t>公示时限：</w:t>
      </w:r>
      <w:r>
        <w:rPr>
          <w:rFonts w:hint="eastAsia" w:ascii="Times New Roman" w:hAnsi="Times New Roman" w:cs="Times New Roman"/>
          <w:sz w:val="24"/>
          <w:szCs w:val="24"/>
        </w:rPr>
        <w:t>2025年8月18日至2025年9月1日，共10个工作日</w:t>
      </w:r>
      <w:r>
        <w:rPr>
          <w:rFonts w:hint="default" w:ascii="Times New Roman" w:hAnsi="Times New Roman" w:cs="Times New Roman"/>
        </w:rPr>
        <w:t>，符合《环境影响评价公众参与办法》要求。</w:t>
      </w:r>
    </w:p>
    <w:p w14:paraId="1174D7D2">
      <w:pPr>
        <w:pStyle w:val="21"/>
        <w:keepNext/>
        <w:keepLines/>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rPr>
      </w:pPr>
      <w:bookmarkStart w:id="46" w:name="_Toc11960"/>
      <w:r>
        <w:rPr>
          <w:rFonts w:hint="default" w:ascii="Times New Roman" w:hAnsi="Times New Roman" w:cs="Times New Roman" w:eastAsiaTheme="minorEastAsia"/>
        </w:rPr>
        <w:t>3.2公示方式</w:t>
      </w:r>
      <w:bookmarkEnd w:id="46"/>
    </w:p>
    <w:p w14:paraId="65D24114">
      <w:pPr>
        <w:ind w:firstLine="0" w:firstLineChars="0"/>
        <w:rPr>
          <w:rFonts w:hint="default" w:ascii="Times New Roman" w:hAnsi="Times New Roman" w:cs="Times New Roman"/>
          <w:b/>
        </w:rPr>
      </w:pPr>
      <w:r>
        <w:rPr>
          <w:rFonts w:hint="default" w:ascii="Times New Roman" w:hAnsi="Times New Roman" w:cs="Times New Roman"/>
          <w:b/>
        </w:rPr>
        <w:t>3.2.1网络</w:t>
      </w:r>
    </w:p>
    <w:p w14:paraId="4A3FD87F">
      <w:pPr>
        <w:ind w:firstLine="480"/>
        <w:rPr>
          <w:rFonts w:hint="default" w:ascii="Times New Roman" w:hAnsi="Times New Roman" w:cs="Times New Roman"/>
        </w:rPr>
      </w:pPr>
      <w:r>
        <w:rPr>
          <w:rFonts w:hint="default" w:ascii="Times New Roman" w:hAnsi="Times New Roman" w:cs="Times New Roman"/>
        </w:rPr>
        <w:t>网络公示时间：</w:t>
      </w:r>
      <w:r>
        <w:rPr>
          <w:rFonts w:hint="eastAsia" w:ascii="Times New Roman" w:hAnsi="Times New Roman" w:cs="Times New Roman"/>
          <w:sz w:val="24"/>
          <w:szCs w:val="24"/>
        </w:rPr>
        <w:t>2025年8月18日至2025年9月1日，共10个工作日</w:t>
      </w:r>
      <w:r>
        <w:rPr>
          <w:rFonts w:hint="default" w:ascii="Times New Roman" w:hAnsi="Times New Roman" w:cs="Times New Roman"/>
        </w:rPr>
        <w:t>。</w:t>
      </w:r>
    </w:p>
    <w:p w14:paraId="07F24372">
      <w:pPr>
        <w:ind w:firstLine="480"/>
        <w:jc w:val="left"/>
        <w:rPr>
          <w:rFonts w:hint="default" w:ascii="Times New Roman" w:hAnsi="Times New Roman" w:cs="Times New Roman"/>
          <w:color w:val="auto"/>
        </w:rPr>
      </w:pPr>
      <w:r>
        <w:rPr>
          <w:rFonts w:hint="default" w:ascii="Times New Roman" w:hAnsi="Times New Roman" w:cs="Times New Roman"/>
        </w:rPr>
        <w:t>网络公示链接地址</w:t>
      </w:r>
      <w:r>
        <w:rPr>
          <w:rFonts w:hint="eastAsia" w:ascii="Times New Roman" w:hAnsi="Times New Roman" w:cs="Times New Roman"/>
          <w:lang w:eastAsia="zh-CN"/>
        </w:rPr>
        <w:t>：</w:t>
      </w:r>
      <w:r>
        <w:rPr>
          <w:rFonts w:hint="eastAsia" w:ascii="Times New Roman" w:hAnsi="Times New Roman" w:cs="Times New Roman"/>
          <w:color w:val="000000" w:themeColor="text1"/>
          <w:sz w:val="24"/>
          <w:szCs w:val="24"/>
          <w14:textFill>
            <w14:solidFill>
              <w14:schemeClr w14:val="tx1"/>
            </w14:solidFill>
          </w14:textFill>
        </w:rPr>
        <w:t>http://tf.mopei8.com/news/itemid-19.shtml</w:t>
      </w:r>
      <w:r>
        <w:rPr>
          <w:rFonts w:hint="default" w:ascii="Times New Roman" w:hAnsi="Times New Roman" w:cs="Times New Roman"/>
        </w:rPr>
        <w:t>，公示截图详见图</w:t>
      </w:r>
      <w:r>
        <w:rPr>
          <w:rFonts w:hint="default" w:ascii="Times New Roman" w:hAnsi="Times New Roman" w:cs="Times New Roman"/>
          <w:color w:val="auto"/>
        </w:rPr>
        <w:t>3-1。</w:t>
      </w:r>
    </w:p>
    <w:p w14:paraId="4D4AE412">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auto"/>
        </w:rPr>
        <w:t>载体选取符合性分析：本项目征求意见稿公示方式</w:t>
      </w:r>
      <w:r>
        <w:rPr>
          <w:rFonts w:hint="default" w:ascii="Times New Roman" w:hAnsi="Times New Roman" w:cs="Times New Roman"/>
        </w:rPr>
        <w:t>采用</w:t>
      </w:r>
      <w:r>
        <w:rPr>
          <w:rFonts w:hint="eastAsia" w:ascii="Times New Roman" w:hAnsi="Times New Roman" w:cs="Times New Roman"/>
          <w:lang w:eastAsia="zh-CN"/>
        </w:rPr>
        <w:t>建设单位官方网站进行公示</w:t>
      </w:r>
      <w:r>
        <w:rPr>
          <w:rFonts w:hint="default" w:ascii="Times New Roman" w:hAnsi="Times New Roman" w:cs="Times New Roman"/>
          <w:color w:val="auto"/>
        </w:rPr>
        <w:t>，于</w:t>
      </w:r>
      <w:r>
        <w:rPr>
          <w:rFonts w:hint="eastAsia" w:ascii="Times New Roman" w:hAnsi="Times New Roman" w:cs="Times New Roman"/>
          <w:sz w:val="24"/>
          <w:szCs w:val="24"/>
        </w:rPr>
        <w:t>2025年8月18日至2025年9月1日</w:t>
      </w:r>
      <w:r>
        <w:rPr>
          <w:rFonts w:hint="default" w:ascii="Times New Roman" w:hAnsi="Times New Roman" w:cs="Times New Roman"/>
          <w:color w:val="auto"/>
        </w:rPr>
        <w:t>网上公示连续10个工作日。因此本项目征求意见稿公示载体的选取符合《环境影响</w:t>
      </w:r>
      <w:r>
        <w:rPr>
          <w:rFonts w:hint="default" w:ascii="Times New Roman" w:hAnsi="Times New Roman" w:cs="Times New Roman"/>
          <w:color w:val="000000" w:themeColor="text1"/>
          <w14:textFill>
            <w14:solidFill>
              <w14:schemeClr w14:val="tx1"/>
            </w14:solidFill>
          </w14:textFill>
        </w:rPr>
        <w:t>评价公众参与办法》要求。</w:t>
      </w:r>
    </w:p>
    <w:p w14:paraId="163FC50C">
      <w:pPr>
        <w:ind w:firstLine="0" w:firstLineChars="0"/>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3.2.2报纸</w:t>
      </w:r>
    </w:p>
    <w:p w14:paraId="2F9D2EA3">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结合征求意见稿公示网上公示，项目于20</w:t>
      </w:r>
      <w:r>
        <w:rPr>
          <w:rFonts w:hint="eastAsia" w:ascii="Times New Roman" w:hAnsi="Times New Roman" w:cs="Times New Roman"/>
          <w:color w:val="000000" w:themeColor="text1"/>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19</w:t>
      </w:r>
      <w:r>
        <w:rPr>
          <w:rFonts w:hint="default" w:ascii="Times New Roman" w:hAnsi="Times New Roman" w:cs="Times New Roman"/>
          <w:color w:val="000000" w:themeColor="text1"/>
          <w14:textFill>
            <w14:solidFill>
              <w14:schemeClr w14:val="tx1"/>
            </w14:solidFill>
          </w14:textFill>
        </w:rPr>
        <w:t>日和20</w:t>
      </w:r>
      <w:r>
        <w:rPr>
          <w:rFonts w:hint="eastAsia" w:ascii="Times New Roman" w:hAnsi="Times New Roman" w:cs="Times New Roman"/>
          <w:color w:val="000000" w:themeColor="text1"/>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26</w:t>
      </w:r>
      <w:r>
        <w:rPr>
          <w:rFonts w:hint="default" w:ascii="Times New Roman" w:hAnsi="Times New Roman" w:cs="Times New Roman"/>
          <w:color w:val="000000" w:themeColor="text1"/>
          <w14:textFill>
            <w14:solidFill>
              <w14:schemeClr w14:val="tx1"/>
            </w14:solidFill>
          </w14:textFill>
        </w:rPr>
        <w:t>日在《</w:t>
      </w:r>
      <w:r>
        <w:rPr>
          <w:rFonts w:hint="eastAsia" w:ascii="Times New Roman" w:hAnsi="Times New Roman" w:cs="Times New Roman"/>
          <w:color w:val="000000" w:themeColor="text1"/>
          <w:lang w:eastAsia="zh-CN"/>
          <w14:textFill>
            <w14:solidFill>
              <w14:schemeClr w14:val="tx1"/>
            </w14:solidFill>
          </w14:textFill>
        </w:rPr>
        <w:t>中国自然资源报</w:t>
      </w:r>
      <w:r>
        <w:rPr>
          <w:rFonts w:hint="default" w:ascii="Times New Roman" w:hAnsi="Times New Roman" w:cs="Times New Roman"/>
          <w:color w:val="000000" w:themeColor="text1"/>
          <w14:textFill>
            <w14:solidFill>
              <w14:schemeClr w14:val="tx1"/>
            </w14:solidFill>
          </w14:textFill>
        </w:rPr>
        <w:t>》报纸刊登征求意见稿公示信息，公示照片详见图3-2。</w:t>
      </w:r>
    </w:p>
    <w:p w14:paraId="6A9BABEC">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本项目征求意见稿公示方式采用建设项目所在地且公众易于接触的报纸公开，且在征求意见的10个工作日内刊登征求意见稿公示信息2次，载体的选取符合《环境影响评价公众参与办法》的要求。</w:t>
      </w:r>
    </w:p>
    <w:tbl>
      <w:tblPr>
        <w:tblStyle w:val="12"/>
        <w:tblW w:w="9288" w:type="dxa"/>
        <w:tblInd w:w="0" w:type="dxa"/>
        <w:tblLayout w:type="fixed"/>
        <w:tblCellMar>
          <w:top w:w="0" w:type="dxa"/>
          <w:left w:w="108" w:type="dxa"/>
          <w:bottom w:w="0" w:type="dxa"/>
          <w:right w:w="108" w:type="dxa"/>
        </w:tblCellMar>
      </w:tblPr>
      <w:tblGrid>
        <w:gridCol w:w="9288"/>
      </w:tblGrid>
      <w:tr w14:paraId="5A489BD5">
        <w:tblPrEx>
          <w:tblCellMar>
            <w:top w:w="0" w:type="dxa"/>
            <w:left w:w="108" w:type="dxa"/>
            <w:bottom w:w="0" w:type="dxa"/>
            <w:right w:w="108" w:type="dxa"/>
          </w:tblCellMar>
        </w:tblPrEx>
        <w:trPr>
          <w:trHeight w:val="453" w:hRule="atLeast"/>
        </w:trPr>
        <w:tc>
          <w:tcPr>
            <w:tcW w:w="9288" w:type="dxa"/>
          </w:tcPr>
          <w:p w14:paraId="719CFB5C">
            <w:pPr>
              <w:pStyle w:val="1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417310" cy="8350250"/>
                  <wp:effectExtent l="0" t="0" r="2540" b="12700"/>
                  <wp:docPr id="4" name="图片 4" descr="广东腾飞摩托车配件有限公司年电镀加工摩托车配件40万平方米迁建项目环境影响报告书 征求意见稿公示_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广东腾飞摩托车配件有限公司年电镀加工摩托车配件40万平方米迁建项目环境影响报告书 征求意见稿公示_公"/>
                          <pic:cNvPicPr>
                            <a:picLocks noChangeAspect="1"/>
                          </pic:cNvPicPr>
                        </pic:nvPicPr>
                        <pic:blipFill>
                          <a:blip r:embed="rId10"/>
                          <a:stretch>
                            <a:fillRect/>
                          </a:stretch>
                        </pic:blipFill>
                        <pic:spPr>
                          <a:xfrm>
                            <a:off x="0" y="0"/>
                            <a:ext cx="6417310" cy="8350250"/>
                          </a:xfrm>
                          <a:prstGeom prst="rect">
                            <a:avLst/>
                          </a:prstGeom>
                        </pic:spPr>
                      </pic:pic>
                    </a:graphicData>
                  </a:graphic>
                </wp:inline>
              </w:drawing>
            </w:r>
          </w:p>
          <w:p w14:paraId="7DD40D96">
            <w:pPr>
              <w:pStyle w:val="1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lang w:val="en-US" w:eastAsia="zh-CN"/>
              </w:rPr>
            </w:pPr>
            <w:r>
              <w:rPr>
                <w:rFonts w:hint="eastAsia" w:ascii="Times New Roman" w:hAnsi="Times New Roman" w:cs="Times New Roman"/>
                <w:lang w:eastAsia="zh-CN"/>
              </w:rPr>
              <w:t>图</w:t>
            </w:r>
            <w:r>
              <w:rPr>
                <w:rFonts w:hint="eastAsia" w:ascii="Times New Roman" w:hAnsi="Times New Roman" w:cs="Times New Roman"/>
                <w:lang w:val="en-US" w:eastAsia="zh-CN"/>
              </w:rPr>
              <w:t>3-1 征求意见稿网上公示截图</w:t>
            </w:r>
          </w:p>
        </w:tc>
      </w:tr>
      <w:tr w14:paraId="49073B94">
        <w:tblPrEx>
          <w:tblCellMar>
            <w:top w:w="0" w:type="dxa"/>
            <w:left w:w="108" w:type="dxa"/>
            <w:bottom w:w="0" w:type="dxa"/>
            <w:right w:w="108" w:type="dxa"/>
          </w:tblCellMar>
        </w:tblPrEx>
        <w:trPr>
          <w:trHeight w:val="3076" w:hRule="atLeast"/>
        </w:trPr>
        <w:tc>
          <w:tcPr>
            <w:tcW w:w="9288" w:type="dxa"/>
          </w:tcPr>
          <w:p w14:paraId="216AF909">
            <w:pPr>
              <w:pStyle w:val="1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270510</wp:posOffset>
                  </wp:positionH>
                  <wp:positionV relativeFrom="paragraph">
                    <wp:posOffset>2863215</wp:posOffset>
                  </wp:positionV>
                  <wp:extent cx="4210685" cy="5617210"/>
                  <wp:effectExtent l="0" t="0" r="2540" b="18415"/>
                  <wp:wrapNone/>
                  <wp:docPr id="22" name="图片 22" descr="11756771bb58baf0e3962d9136c5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1756771bb58baf0e3962d9136c531b"/>
                          <pic:cNvPicPr>
                            <a:picLocks noChangeAspect="1"/>
                          </pic:cNvPicPr>
                        </pic:nvPicPr>
                        <pic:blipFill>
                          <a:blip r:embed="rId11"/>
                          <a:stretch>
                            <a:fillRect/>
                          </a:stretch>
                        </pic:blipFill>
                        <pic:spPr>
                          <a:xfrm rot="16200000">
                            <a:off x="0" y="0"/>
                            <a:ext cx="4210685" cy="5617210"/>
                          </a:xfrm>
                          <a:prstGeom prst="rect">
                            <a:avLst/>
                          </a:prstGeom>
                        </pic:spPr>
                      </pic:pic>
                    </a:graphicData>
                  </a:graphic>
                </wp:anchor>
              </w:drawing>
            </w:r>
            <w:r>
              <w:drawing>
                <wp:inline distT="0" distB="0" distL="114300" distR="114300">
                  <wp:extent cx="3467735" cy="4596765"/>
                  <wp:effectExtent l="0" t="0" r="13335" b="1841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2"/>
                          <a:stretch>
                            <a:fillRect/>
                          </a:stretch>
                        </pic:blipFill>
                        <pic:spPr>
                          <a:xfrm rot="16200000">
                            <a:off x="0" y="0"/>
                            <a:ext cx="3467735" cy="4596765"/>
                          </a:xfrm>
                          <a:prstGeom prst="rect">
                            <a:avLst/>
                          </a:prstGeom>
                          <a:noFill/>
                          <a:ln>
                            <a:noFill/>
                          </a:ln>
                        </pic:spPr>
                      </pic:pic>
                    </a:graphicData>
                  </a:graphic>
                </wp:inline>
              </w:drawing>
            </w:r>
          </w:p>
          <w:p w14:paraId="67359FAF">
            <w:pPr>
              <w:pStyle w:val="1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p>
          <w:p w14:paraId="45463DCE">
            <w:pPr>
              <w:pStyle w:val="1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p w14:paraId="58700A73">
            <w:pPr>
              <w:pStyle w:val="1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p w14:paraId="2DD3D7C5">
            <w:pPr>
              <w:pStyle w:val="1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p w14:paraId="25280545">
            <w:pPr>
              <w:pStyle w:val="1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p w14:paraId="3409DFEE">
            <w:pPr>
              <w:pStyle w:val="1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p w14:paraId="3EB242C2">
            <w:pPr>
              <w:pStyle w:val="1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p w14:paraId="4630412D">
            <w:pPr>
              <w:pStyle w:val="1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p w14:paraId="409AD81C">
            <w:pPr>
              <w:pStyle w:val="1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p w14:paraId="48E9776B">
            <w:pPr>
              <w:pStyle w:val="19"/>
              <w:rPr>
                <w:rFonts w:hint="default" w:ascii="Times New Roman" w:hAnsi="Times New Roman" w:cs="Times New Roman"/>
                <w:color w:val="000000" w:themeColor="text1"/>
                <w14:textFill>
                  <w14:solidFill>
                    <w14:schemeClr w14:val="tx1"/>
                  </w14:solidFill>
                </w14:textFill>
              </w:rPr>
            </w:pPr>
          </w:p>
          <w:p w14:paraId="1B73EECE">
            <w:pPr>
              <w:pStyle w:val="19"/>
              <w:rPr>
                <w:rFonts w:hint="default" w:ascii="Times New Roman" w:hAnsi="Times New Roman" w:cs="Times New Roman"/>
                <w:color w:val="000000" w:themeColor="text1"/>
                <w14:textFill>
                  <w14:solidFill>
                    <w14:schemeClr w14:val="tx1"/>
                  </w14:solidFill>
                </w14:textFill>
              </w:rPr>
            </w:pPr>
          </w:p>
          <w:p w14:paraId="0A7E825B">
            <w:pPr>
              <w:pStyle w:val="19"/>
              <w:rPr>
                <w:rFonts w:hint="default" w:ascii="Times New Roman" w:hAnsi="Times New Roman" w:cs="Times New Roman"/>
                <w:color w:val="000000" w:themeColor="text1"/>
                <w14:textFill>
                  <w14:solidFill>
                    <w14:schemeClr w14:val="tx1"/>
                  </w14:solidFill>
                </w14:textFill>
              </w:rPr>
            </w:pPr>
          </w:p>
          <w:p w14:paraId="0F9F725A">
            <w:pPr>
              <w:pStyle w:val="19"/>
              <w:rPr>
                <w:rFonts w:hint="default" w:ascii="Times New Roman" w:hAnsi="Times New Roman" w:cs="Times New Roman"/>
                <w:color w:val="000000" w:themeColor="text1"/>
                <w14:textFill>
                  <w14:solidFill>
                    <w14:schemeClr w14:val="tx1"/>
                  </w14:solidFill>
                </w14:textFill>
              </w:rPr>
            </w:pPr>
          </w:p>
          <w:p w14:paraId="02B0CCC6">
            <w:pPr>
              <w:pStyle w:val="1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图3-2 征求意见稿公示第一次报纸公示信息</w:t>
            </w:r>
          </w:p>
          <w:p w14:paraId="43F9ED98">
            <w:pPr>
              <w:pStyle w:val="19"/>
              <w:rPr>
                <w:rFonts w:hint="eastAsia" w:ascii="Times New Roman" w:hAnsi="Times New Roman" w:cs="Times New Roman" w:eastAsiaTheme="minorEastAsia"/>
                <w:color w:val="000000" w:themeColor="text1"/>
                <w:lang w:val="en-US" w:eastAsia="zh-CN"/>
                <w14:textFill>
                  <w14:solidFill>
                    <w14:schemeClr w14:val="tx1"/>
                  </w14:solidFill>
                </w14:textFill>
              </w:rPr>
            </w:pPr>
            <w:r>
              <w:drawing>
                <wp:inline distT="0" distB="0" distL="114300" distR="114300">
                  <wp:extent cx="3488690" cy="4868545"/>
                  <wp:effectExtent l="0" t="0" r="8255" b="1651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3"/>
                          <a:stretch>
                            <a:fillRect/>
                          </a:stretch>
                        </pic:blipFill>
                        <pic:spPr>
                          <a:xfrm rot="16200000">
                            <a:off x="0" y="0"/>
                            <a:ext cx="3488690" cy="4868545"/>
                          </a:xfrm>
                          <a:prstGeom prst="rect">
                            <a:avLst/>
                          </a:prstGeom>
                          <a:noFill/>
                          <a:ln>
                            <a:noFill/>
                          </a:ln>
                        </pic:spPr>
                      </pic:pic>
                    </a:graphicData>
                  </a:graphic>
                </wp:inline>
              </w:drawing>
            </w:r>
          </w:p>
          <w:p w14:paraId="5FB0D26F">
            <w:pPr>
              <w:pStyle w:val="19"/>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391795</wp:posOffset>
                  </wp:positionH>
                  <wp:positionV relativeFrom="paragraph">
                    <wp:posOffset>-711200</wp:posOffset>
                  </wp:positionV>
                  <wp:extent cx="4276090" cy="5705475"/>
                  <wp:effectExtent l="0" t="0" r="9525" b="10160"/>
                  <wp:wrapNone/>
                  <wp:docPr id="19" name="图片 19" descr="33ce8595fad2c69957f69dbae4af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3ce8595fad2c69957f69dbae4af647"/>
                          <pic:cNvPicPr>
                            <a:picLocks noChangeAspect="1"/>
                          </pic:cNvPicPr>
                        </pic:nvPicPr>
                        <pic:blipFill>
                          <a:blip r:embed="rId14"/>
                          <a:stretch>
                            <a:fillRect/>
                          </a:stretch>
                        </pic:blipFill>
                        <pic:spPr>
                          <a:xfrm rot="16200000">
                            <a:off x="0" y="0"/>
                            <a:ext cx="4276090" cy="5705475"/>
                          </a:xfrm>
                          <a:prstGeom prst="rect">
                            <a:avLst/>
                          </a:prstGeom>
                        </pic:spPr>
                      </pic:pic>
                    </a:graphicData>
                  </a:graphic>
                </wp:anchor>
              </w:drawing>
            </w:r>
          </w:p>
          <w:p w14:paraId="1EDD3138">
            <w:pPr>
              <w:pStyle w:val="19"/>
              <w:rPr>
                <w:rFonts w:hint="eastAsia" w:ascii="Times New Roman" w:hAnsi="Times New Roman" w:cs="Times New Roman" w:eastAsiaTheme="minorEastAsia"/>
                <w:color w:val="000000" w:themeColor="text1"/>
                <w:lang w:val="en-US" w:eastAsia="zh-CN"/>
                <w14:textFill>
                  <w14:solidFill>
                    <w14:schemeClr w14:val="tx1"/>
                  </w14:solidFill>
                </w14:textFill>
              </w:rPr>
            </w:pPr>
          </w:p>
          <w:p w14:paraId="21848354">
            <w:pPr>
              <w:pStyle w:val="19"/>
              <w:rPr>
                <w:rFonts w:hint="eastAsia" w:ascii="Times New Roman" w:hAnsi="Times New Roman" w:cs="Times New Roman" w:eastAsiaTheme="minorEastAsia"/>
                <w:color w:val="000000" w:themeColor="text1"/>
                <w:lang w:val="en-US" w:eastAsia="zh-CN"/>
                <w14:textFill>
                  <w14:solidFill>
                    <w14:schemeClr w14:val="tx1"/>
                  </w14:solidFill>
                </w14:textFill>
              </w:rPr>
            </w:pPr>
          </w:p>
          <w:p w14:paraId="5E4C5731">
            <w:pPr>
              <w:pStyle w:val="19"/>
              <w:jc w:val="center"/>
              <w:rPr>
                <w:rFonts w:hint="default" w:ascii="Times New Roman" w:hAnsi="Times New Roman" w:cs="Times New Roman"/>
                <w:color w:val="000000" w:themeColor="text1"/>
                <w14:textFill>
                  <w14:solidFill>
                    <w14:schemeClr w14:val="tx1"/>
                  </w14:solidFill>
                </w14:textFill>
              </w:rPr>
            </w:pPr>
          </w:p>
          <w:p w14:paraId="217E586B">
            <w:pPr>
              <w:pStyle w:val="19"/>
              <w:jc w:val="center"/>
              <w:rPr>
                <w:rFonts w:hint="default" w:ascii="Times New Roman" w:hAnsi="Times New Roman" w:cs="Times New Roman"/>
                <w:color w:val="000000" w:themeColor="text1"/>
                <w14:textFill>
                  <w14:solidFill>
                    <w14:schemeClr w14:val="tx1"/>
                  </w14:solidFill>
                </w14:textFill>
              </w:rPr>
            </w:pPr>
          </w:p>
          <w:p w14:paraId="0EBB7AE1">
            <w:pPr>
              <w:pStyle w:val="19"/>
              <w:jc w:val="center"/>
              <w:rPr>
                <w:rFonts w:hint="default" w:ascii="Times New Roman" w:hAnsi="Times New Roman" w:cs="Times New Roman"/>
                <w:color w:val="000000" w:themeColor="text1"/>
                <w14:textFill>
                  <w14:solidFill>
                    <w14:schemeClr w14:val="tx1"/>
                  </w14:solidFill>
                </w14:textFill>
              </w:rPr>
            </w:pPr>
          </w:p>
          <w:p w14:paraId="162A4D05">
            <w:pPr>
              <w:pStyle w:val="19"/>
              <w:jc w:val="center"/>
              <w:rPr>
                <w:rFonts w:hint="default" w:ascii="Times New Roman" w:hAnsi="Times New Roman" w:cs="Times New Roman"/>
                <w:color w:val="000000" w:themeColor="text1"/>
                <w14:textFill>
                  <w14:solidFill>
                    <w14:schemeClr w14:val="tx1"/>
                  </w14:solidFill>
                </w14:textFill>
              </w:rPr>
            </w:pPr>
          </w:p>
          <w:p w14:paraId="7149243C">
            <w:pPr>
              <w:pStyle w:val="19"/>
              <w:jc w:val="center"/>
              <w:rPr>
                <w:rFonts w:hint="default" w:ascii="Times New Roman" w:hAnsi="Times New Roman" w:cs="Times New Roman"/>
                <w:color w:val="000000" w:themeColor="text1"/>
                <w14:textFill>
                  <w14:solidFill>
                    <w14:schemeClr w14:val="tx1"/>
                  </w14:solidFill>
                </w14:textFill>
              </w:rPr>
            </w:pPr>
          </w:p>
          <w:p w14:paraId="2C28E6E6">
            <w:pPr>
              <w:pStyle w:val="19"/>
              <w:jc w:val="center"/>
              <w:rPr>
                <w:rFonts w:hint="default" w:ascii="Times New Roman" w:hAnsi="Times New Roman" w:cs="Times New Roman"/>
                <w:color w:val="000000" w:themeColor="text1"/>
                <w14:textFill>
                  <w14:solidFill>
                    <w14:schemeClr w14:val="tx1"/>
                  </w14:solidFill>
                </w14:textFill>
              </w:rPr>
            </w:pPr>
          </w:p>
          <w:p w14:paraId="6E7EF1BE">
            <w:pPr>
              <w:pStyle w:val="19"/>
              <w:jc w:val="center"/>
              <w:rPr>
                <w:rFonts w:hint="default" w:ascii="Times New Roman" w:hAnsi="Times New Roman" w:cs="Times New Roman"/>
                <w:color w:val="000000" w:themeColor="text1"/>
                <w14:textFill>
                  <w14:solidFill>
                    <w14:schemeClr w14:val="tx1"/>
                  </w14:solidFill>
                </w14:textFill>
              </w:rPr>
            </w:pPr>
          </w:p>
          <w:p w14:paraId="3C31B374">
            <w:pPr>
              <w:pStyle w:val="19"/>
              <w:jc w:val="center"/>
              <w:rPr>
                <w:rFonts w:hint="default" w:ascii="Times New Roman" w:hAnsi="Times New Roman" w:cs="Times New Roman"/>
                <w:color w:val="000000" w:themeColor="text1"/>
                <w14:textFill>
                  <w14:solidFill>
                    <w14:schemeClr w14:val="tx1"/>
                  </w14:solidFill>
                </w14:textFill>
              </w:rPr>
            </w:pPr>
          </w:p>
          <w:p w14:paraId="41632B83">
            <w:pPr>
              <w:pStyle w:val="19"/>
              <w:jc w:val="center"/>
              <w:rPr>
                <w:rFonts w:hint="default" w:ascii="Times New Roman" w:hAnsi="Times New Roman" w:cs="Times New Roman"/>
                <w:color w:val="000000" w:themeColor="text1"/>
                <w14:textFill>
                  <w14:solidFill>
                    <w14:schemeClr w14:val="tx1"/>
                  </w14:solidFill>
                </w14:textFill>
              </w:rPr>
            </w:pPr>
          </w:p>
          <w:p w14:paraId="35AD5408">
            <w:pPr>
              <w:pStyle w:val="19"/>
              <w:jc w:val="center"/>
              <w:rPr>
                <w:rFonts w:hint="default" w:ascii="Times New Roman" w:hAnsi="Times New Roman" w:cs="Times New Roman"/>
                <w:color w:val="000000" w:themeColor="text1"/>
                <w14:textFill>
                  <w14:solidFill>
                    <w14:schemeClr w14:val="tx1"/>
                  </w14:solidFill>
                </w14:textFill>
              </w:rPr>
            </w:pPr>
          </w:p>
          <w:p w14:paraId="1B731BFC">
            <w:pPr>
              <w:pStyle w:val="19"/>
              <w:jc w:val="center"/>
              <w:rPr>
                <w:rFonts w:hint="default" w:ascii="Times New Roman" w:hAnsi="Times New Roman" w:cs="Times New Roman"/>
                <w:color w:val="000000" w:themeColor="text1"/>
                <w14:textFill>
                  <w14:solidFill>
                    <w14:schemeClr w14:val="tx1"/>
                  </w14:solidFill>
                </w14:textFill>
              </w:rPr>
            </w:pPr>
          </w:p>
          <w:p w14:paraId="18569621">
            <w:pPr>
              <w:pStyle w:val="19"/>
              <w:jc w:val="center"/>
              <w:rPr>
                <w:rFonts w:hint="eastAsia" w:ascii="Times New Roman" w:hAnsi="Times New Roman" w:cs="Times New Roman" w:eastAsiaTheme="minorEastAsia"/>
                <w:lang w:val="en-US" w:eastAsia="zh-CN"/>
              </w:rPr>
            </w:pPr>
            <w:r>
              <w:rPr>
                <w:rFonts w:hint="default" w:ascii="Times New Roman" w:hAnsi="Times New Roman" w:cs="Times New Roman"/>
                <w:color w:val="000000" w:themeColor="text1"/>
                <w14:textFill>
                  <w14:solidFill>
                    <w14:schemeClr w14:val="tx1"/>
                  </w14:solidFill>
                </w14:textFill>
              </w:rPr>
              <w:t>图3-3 征求意见稿公示第二次报纸公示信息</w:t>
            </w:r>
          </w:p>
        </w:tc>
      </w:tr>
    </w:tbl>
    <w:p w14:paraId="72C65E28">
      <w:pPr>
        <w:ind w:firstLine="0" w:firstLineChars="0"/>
        <w:rPr>
          <w:rFonts w:hint="default" w:ascii="Times New Roman" w:hAnsi="Times New Roman" w:cs="Times New Roman"/>
          <w:b/>
          <w:color w:val="auto"/>
        </w:rPr>
      </w:pPr>
    </w:p>
    <w:p w14:paraId="0EA8DA15">
      <w:pPr>
        <w:ind w:firstLine="0" w:firstLineChars="0"/>
        <w:rPr>
          <w:rFonts w:hint="default" w:ascii="Times New Roman" w:hAnsi="Times New Roman" w:cs="Times New Roman"/>
          <w:b/>
          <w:color w:val="auto"/>
        </w:rPr>
      </w:pPr>
      <w:r>
        <w:rPr>
          <w:rFonts w:hint="default" w:ascii="Times New Roman" w:hAnsi="Times New Roman" w:cs="Times New Roman"/>
          <w:b/>
          <w:color w:val="auto"/>
        </w:rPr>
        <w:t>3.2.3张贴</w:t>
      </w:r>
    </w:p>
    <w:p w14:paraId="1A333DEF">
      <w:pPr>
        <w:ind w:firstLine="480"/>
        <w:rPr>
          <w:rFonts w:hint="default" w:ascii="Times New Roman" w:hAnsi="Times New Roman" w:cs="Times New Roman"/>
          <w:color w:val="auto"/>
        </w:rPr>
      </w:pPr>
      <w:r>
        <w:rPr>
          <w:rFonts w:hint="default" w:ascii="Times New Roman" w:hAnsi="Times New Roman" w:cs="Times New Roman"/>
          <w:color w:val="auto"/>
        </w:rPr>
        <w:t>项目周边受影响区域以张贴布告的形式进行了环境影响评价结果公示，并向公众公开征求意见稿的查阅的渠道以及意见反馈的方式。各敏感点的公示照片的近、远景照见图</w:t>
      </w:r>
      <w:r>
        <w:rPr>
          <w:rFonts w:hint="default" w:ascii="Times New Roman" w:hAnsi="Times New Roman" w:cs="Times New Roman"/>
          <w:color w:val="auto"/>
          <w:lang w:val="en-US" w:eastAsia="zh-CN"/>
        </w:rPr>
        <w:t>3-4</w:t>
      </w:r>
      <w:r>
        <w:rPr>
          <w:rFonts w:hint="default" w:ascii="Times New Roman" w:hAnsi="Times New Roman" w:cs="Times New Roman"/>
          <w:color w:val="auto"/>
        </w:rPr>
        <w:t>。</w:t>
      </w:r>
    </w:p>
    <w:p w14:paraId="1C3F9592">
      <w:pPr>
        <w:ind w:firstLine="480"/>
        <w:rPr>
          <w:rFonts w:hint="default" w:ascii="Times New Roman" w:hAnsi="Times New Roman" w:cs="Times New Roman"/>
          <w:color w:val="auto"/>
        </w:rPr>
      </w:pPr>
      <w:r>
        <w:rPr>
          <w:rFonts w:hint="default" w:ascii="Times New Roman" w:hAnsi="Times New Roman" w:cs="Times New Roman"/>
          <w:color w:val="auto"/>
        </w:rPr>
        <w:t>载体选取符合性分析：项目选取距离项目最近的敏感点诸如</w:t>
      </w:r>
      <w:r>
        <w:rPr>
          <w:rFonts w:hint="eastAsia" w:ascii="Times New Roman" w:hAnsi="Times New Roman" w:cs="Times New Roman"/>
          <w:color w:val="auto"/>
          <w:lang w:eastAsia="zh-CN"/>
        </w:rPr>
        <w:t>新益、那青、木桥、葭山、麦边</w:t>
      </w:r>
      <w:r>
        <w:rPr>
          <w:rFonts w:hint="default" w:ascii="Times New Roman" w:hAnsi="Times New Roman" w:cs="Times New Roman"/>
          <w:color w:val="auto"/>
        </w:rPr>
        <w:t>，共</w:t>
      </w:r>
      <w:r>
        <w:rPr>
          <w:rFonts w:hint="eastAsia" w:ascii="Times New Roman" w:hAnsi="Times New Roman" w:cs="Times New Roman"/>
          <w:color w:val="auto"/>
          <w:lang w:val="en-US" w:eastAsia="zh-CN"/>
        </w:rPr>
        <w:t>4</w:t>
      </w:r>
      <w:r>
        <w:rPr>
          <w:rFonts w:hint="default" w:ascii="Times New Roman" w:hAnsi="Times New Roman" w:cs="Times New Roman"/>
          <w:color w:val="auto"/>
        </w:rPr>
        <w:t>个地点进行公示。因此本项目征求意见稿的公开环境影响评价信息的载体选取符合《环境影响评价公众参与办法》要求。</w:t>
      </w:r>
    </w:p>
    <w:tbl>
      <w:tblPr>
        <w:tblStyle w:val="1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4644"/>
      </w:tblGrid>
      <w:tr w14:paraId="1E97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14:paraId="6B0BA252">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880995" cy="2160270"/>
                  <wp:effectExtent l="0" t="0" r="14605" b="11430"/>
                  <wp:docPr id="23" name="图片 23" descr="3d839303d8ff0caa36ca2a7ec2a0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d839303d8ff0caa36ca2a7ec2a07c8"/>
                          <pic:cNvPicPr>
                            <a:picLocks noChangeAspect="1"/>
                          </pic:cNvPicPr>
                        </pic:nvPicPr>
                        <pic:blipFill>
                          <a:blip r:embed="rId15"/>
                          <a:stretch>
                            <a:fillRect/>
                          </a:stretch>
                        </pic:blipFill>
                        <pic:spPr>
                          <a:xfrm>
                            <a:off x="0" y="0"/>
                            <a:ext cx="2880995" cy="2160270"/>
                          </a:xfrm>
                          <a:prstGeom prst="rect">
                            <a:avLst/>
                          </a:prstGeom>
                        </pic:spPr>
                      </pic:pic>
                    </a:graphicData>
                  </a:graphic>
                </wp:inline>
              </w:drawing>
            </w:r>
          </w:p>
        </w:tc>
        <w:tc>
          <w:tcPr>
            <w:tcW w:w="4644" w:type="dxa"/>
            <w:vAlign w:val="center"/>
          </w:tcPr>
          <w:p w14:paraId="1251CAC3">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870200" cy="3827780"/>
                  <wp:effectExtent l="0" t="0" r="6350" b="1270"/>
                  <wp:docPr id="24" name="图片 24" descr="7e970749dbedacc5d56b90a511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e970749dbedacc5d56b90a51121249"/>
                          <pic:cNvPicPr>
                            <a:picLocks noChangeAspect="1"/>
                          </pic:cNvPicPr>
                        </pic:nvPicPr>
                        <pic:blipFill>
                          <a:blip r:embed="rId16"/>
                          <a:stretch>
                            <a:fillRect/>
                          </a:stretch>
                        </pic:blipFill>
                        <pic:spPr>
                          <a:xfrm>
                            <a:off x="0" y="0"/>
                            <a:ext cx="2870200" cy="3827780"/>
                          </a:xfrm>
                          <a:prstGeom prst="rect">
                            <a:avLst/>
                          </a:prstGeom>
                        </pic:spPr>
                      </pic:pic>
                    </a:graphicData>
                  </a:graphic>
                </wp:inline>
              </w:drawing>
            </w:r>
          </w:p>
        </w:tc>
      </w:tr>
      <w:tr w14:paraId="1339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14:paraId="36512432">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vertAlign w:val="baseline"/>
                <w:lang w:eastAsia="zh-CN"/>
              </w:rPr>
              <w:t>那青村</w:t>
            </w:r>
            <w:r>
              <w:rPr>
                <w:rFonts w:hint="default" w:ascii="Times New Roman" w:hAnsi="Times New Roman" w:cs="Times New Roman"/>
                <w:color w:val="auto"/>
                <w:sz w:val="21"/>
                <w:szCs w:val="21"/>
                <w:vertAlign w:val="baseline"/>
                <w:lang w:eastAsia="zh-CN"/>
              </w:rPr>
              <w:t>（远景）</w:t>
            </w:r>
          </w:p>
        </w:tc>
        <w:tc>
          <w:tcPr>
            <w:tcW w:w="4644" w:type="dxa"/>
            <w:vAlign w:val="center"/>
          </w:tcPr>
          <w:p w14:paraId="3FE9C4C9">
            <w:pPr>
              <w:spacing w:line="240" w:lineRule="auto"/>
              <w:ind w:left="0" w:leftChars="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eastAsia="zh-CN"/>
              </w:rPr>
              <w:t>那青村</w:t>
            </w:r>
            <w:r>
              <w:rPr>
                <w:rFonts w:hint="default" w:ascii="Times New Roman" w:hAnsi="Times New Roman" w:cs="Times New Roman"/>
                <w:color w:val="auto"/>
                <w:sz w:val="21"/>
                <w:szCs w:val="21"/>
                <w:vertAlign w:val="baseline"/>
                <w:lang w:eastAsia="zh-CN"/>
              </w:rPr>
              <w:t>（近景）</w:t>
            </w:r>
          </w:p>
        </w:tc>
      </w:tr>
      <w:tr w14:paraId="0132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14:paraId="1CC7CF79">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796540" cy="2096770"/>
                  <wp:effectExtent l="0" t="0" r="3810" b="17780"/>
                  <wp:docPr id="25" name="图片 25" descr="c37a30a8eb3285139978d78112db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37a30a8eb3285139978d78112dbcc0"/>
                          <pic:cNvPicPr>
                            <a:picLocks noChangeAspect="1"/>
                          </pic:cNvPicPr>
                        </pic:nvPicPr>
                        <pic:blipFill>
                          <a:blip r:embed="rId17"/>
                          <a:stretch>
                            <a:fillRect/>
                          </a:stretch>
                        </pic:blipFill>
                        <pic:spPr>
                          <a:xfrm>
                            <a:off x="0" y="0"/>
                            <a:ext cx="2796540" cy="2096770"/>
                          </a:xfrm>
                          <a:prstGeom prst="rect">
                            <a:avLst/>
                          </a:prstGeom>
                        </pic:spPr>
                      </pic:pic>
                    </a:graphicData>
                  </a:graphic>
                </wp:inline>
              </w:drawing>
            </w:r>
          </w:p>
        </w:tc>
        <w:tc>
          <w:tcPr>
            <w:tcW w:w="4644" w:type="dxa"/>
            <w:vAlign w:val="center"/>
          </w:tcPr>
          <w:p w14:paraId="034A46C8">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804160" cy="3739515"/>
                  <wp:effectExtent l="0" t="0" r="15240" b="13335"/>
                  <wp:docPr id="26" name="图片 26" descr="3001b1efe66bcd3290d8c4102c97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001b1efe66bcd3290d8c4102c97e34"/>
                          <pic:cNvPicPr>
                            <a:picLocks noChangeAspect="1"/>
                          </pic:cNvPicPr>
                        </pic:nvPicPr>
                        <pic:blipFill>
                          <a:blip r:embed="rId18"/>
                          <a:stretch>
                            <a:fillRect/>
                          </a:stretch>
                        </pic:blipFill>
                        <pic:spPr>
                          <a:xfrm>
                            <a:off x="0" y="0"/>
                            <a:ext cx="2804160" cy="3739515"/>
                          </a:xfrm>
                          <a:prstGeom prst="rect">
                            <a:avLst/>
                          </a:prstGeom>
                        </pic:spPr>
                      </pic:pic>
                    </a:graphicData>
                  </a:graphic>
                </wp:inline>
              </w:drawing>
            </w:r>
          </w:p>
        </w:tc>
      </w:tr>
      <w:tr w14:paraId="5CB1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14:paraId="212D353B">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木桥村</w:t>
            </w:r>
            <w:r>
              <w:rPr>
                <w:rFonts w:hint="default" w:ascii="Times New Roman" w:hAnsi="Times New Roman" w:cs="Times New Roman"/>
                <w:color w:val="auto"/>
                <w:sz w:val="21"/>
                <w:szCs w:val="21"/>
                <w:vertAlign w:val="baseline"/>
                <w:lang w:val="en-US" w:eastAsia="zh-CN"/>
              </w:rPr>
              <w:t>（远景）</w:t>
            </w:r>
          </w:p>
        </w:tc>
        <w:tc>
          <w:tcPr>
            <w:tcW w:w="4644" w:type="dxa"/>
            <w:vAlign w:val="center"/>
          </w:tcPr>
          <w:p w14:paraId="621E5827">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vertAlign w:val="baseline"/>
                <w:lang w:val="en-US" w:eastAsia="zh-CN"/>
              </w:rPr>
              <w:t>木桥村</w:t>
            </w:r>
            <w:r>
              <w:rPr>
                <w:rFonts w:hint="default" w:ascii="Times New Roman" w:hAnsi="Times New Roman" w:cs="Times New Roman"/>
                <w:color w:val="auto"/>
                <w:sz w:val="21"/>
                <w:szCs w:val="21"/>
                <w:vertAlign w:val="baseline"/>
                <w:lang w:eastAsia="zh-CN"/>
              </w:rPr>
              <w:t>（近景）</w:t>
            </w:r>
          </w:p>
        </w:tc>
      </w:tr>
      <w:tr w14:paraId="4890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14:paraId="237BDF30">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796540" cy="2096770"/>
                  <wp:effectExtent l="0" t="0" r="3810" b="17780"/>
                  <wp:docPr id="27" name="图片 27" descr="3cac90c92f595981b8a117b7945d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cac90c92f595981b8a117b7945dbd4"/>
                          <pic:cNvPicPr>
                            <a:picLocks noChangeAspect="1"/>
                          </pic:cNvPicPr>
                        </pic:nvPicPr>
                        <pic:blipFill>
                          <a:blip r:embed="rId19"/>
                          <a:stretch>
                            <a:fillRect/>
                          </a:stretch>
                        </pic:blipFill>
                        <pic:spPr>
                          <a:xfrm>
                            <a:off x="0" y="0"/>
                            <a:ext cx="2796540" cy="2096770"/>
                          </a:xfrm>
                          <a:prstGeom prst="rect">
                            <a:avLst/>
                          </a:prstGeom>
                        </pic:spPr>
                      </pic:pic>
                    </a:graphicData>
                  </a:graphic>
                </wp:inline>
              </w:drawing>
            </w:r>
          </w:p>
        </w:tc>
        <w:tc>
          <w:tcPr>
            <w:tcW w:w="4644" w:type="dxa"/>
            <w:vAlign w:val="center"/>
          </w:tcPr>
          <w:p w14:paraId="7C12B646">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804160" cy="3739515"/>
                  <wp:effectExtent l="0" t="0" r="15240" b="13335"/>
                  <wp:docPr id="28" name="图片 28" descr="51156c15c32c63782e6700c27c8d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1156c15c32c63782e6700c27c8de8d"/>
                          <pic:cNvPicPr>
                            <a:picLocks noChangeAspect="1"/>
                          </pic:cNvPicPr>
                        </pic:nvPicPr>
                        <pic:blipFill>
                          <a:blip r:embed="rId20"/>
                          <a:stretch>
                            <a:fillRect/>
                          </a:stretch>
                        </pic:blipFill>
                        <pic:spPr>
                          <a:xfrm>
                            <a:off x="0" y="0"/>
                            <a:ext cx="2804160" cy="3739515"/>
                          </a:xfrm>
                          <a:prstGeom prst="rect">
                            <a:avLst/>
                          </a:prstGeom>
                        </pic:spPr>
                      </pic:pic>
                    </a:graphicData>
                  </a:graphic>
                </wp:inline>
              </w:drawing>
            </w:r>
          </w:p>
        </w:tc>
      </w:tr>
      <w:tr w14:paraId="700D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14:paraId="4AA54A96">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vertAlign w:val="baseline"/>
                <w:lang w:eastAsia="zh-CN"/>
              </w:rPr>
              <w:t>交椅山村</w:t>
            </w:r>
            <w:r>
              <w:rPr>
                <w:rFonts w:hint="default" w:ascii="Times New Roman" w:hAnsi="Times New Roman" w:cs="Times New Roman"/>
                <w:color w:val="auto"/>
                <w:sz w:val="21"/>
                <w:szCs w:val="21"/>
                <w:vertAlign w:val="baseline"/>
                <w:lang w:eastAsia="zh-CN"/>
              </w:rPr>
              <w:t>（远景）</w:t>
            </w:r>
          </w:p>
        </w:tc>
        <w:tc>
          <w:tcPr>
            <w:tcW w:w="4644" w:type="dxa"/>
            <w:vAlign w:val="center"/>
          </w:tcPr>
          <w:p w14:paraId="30D63E7C">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vertAlign w:val="baseline"/>
                <w:lang w:eastAsia="zh-CN"/>
              </w:rPr>
              <w:t>交椅山村</w:t>
            </w:r>
            <w:r>
              <w:rPr>
                <w:rFonts w:hint="default" w:ascii="Times New Roman" w:hAnsi="Times New Roman" w:cs="Times New Roman"/>
                <w:color w:val="auto"/>
                <w:sz w:val="21"/>
                <w:szCs w:val="21"/>
                <w:vertAlign w:val="baseline"/>
                <w:lang w:eastAsia="zh-CN"/>
              </w:rPr>
              <w:t>（近景）</w:t>
            </w:r>
          </w:p>
        </w:tc>
      </w:tr>
      <w:tr w14:paraId="1A3A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14:paraId="5289508A">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796540" cy="2096770"/>
                  <wp:effectExtent l="0" t="0" r="3810" b="17780"/>
                  <wp:docPr id="29" name="图片 29" descr="c0670e46c241ba9eda80de2f6588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0670e46c241ba9eda80de2f658834e"/>
                          <pic:cNvPicPr>
                            <a:picLocks noChangeAspect="1"/>
                          </pic:cNvPicPr>
                        </pic:nvPicPr>
                        <pic:blipFill>
                          <a:blip r:embed="rId21"/>
                          <a:stretch>
                            <a:fillRect/>
                          </a:stretch>
                        </pic:blipFill>
                        <pic:spPr>
                          <a:xfrm>
                            <a:off x="0" y="0"/>
                            <a:ext cx="2796540" cy="2096770"/>
                          </a:xfrm>
                          <a:prstGeom prst="rect">
                            <a:avLst/>
                          </a:prstGeom>
                        </pic:spPr>
                      </pic:pic>
                    </a:graphicData>
                  </a:graphic>
                </wp:inline>
              </w:drawing>
            </w:r>
          </w:p>
        </w:tc>
        <w:tc>
          <w:tcPr>
            <w:tcW w:w="4644" w:type="dxa"/>
            <w:vAlign w:val="center"/>
          </w:tcPr>
          <w:p w14:paraId="554EF73F">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804160" cy="3739515"/>
                  <wp:effectExtent l="0" t="0" r="15240" b="13335"/>
                  <wp:docPr id="30" name="图片 30" descr="b9cc8bb18fd0ff5378eb409fc59e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9cc8bb18fd0ff5378eb409fc59e30d"/>
                          <pic:cNvPicPr>
                            <a:picLocks noChangeAspect="1"/>
                          </pic:cNvPicPr>
                        </pic:nvPicPr>
                        <pic:blipFill>
                          <a:blip r:embed="rId22"/>
                          <a:stretch>
                            <a:fillRect/>
                          </a:stretch>
                        </pic:blipFill>
                        <pic:spPr>
                          <a:xfrm>
                            <a:off x="0" y="0"/>
                            <a:ext cx="2804160" cy="3739515"/>
                          </a:xfrm>
                          <a:prstGeom prst="rect">
                            <a:avLst/>
                          </a:prstGeom>
                        </pic:spPr>
                      </pic:pic>
                    </a:graphicData>
                  </a:graphic>
                </wp:inline>
              </w:drawing>
            </w:r>
          </w:p>
        </w:tc>
      </w:tr>
      <w:tr w14:paraId="711D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14:paraId="21747E11">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vertAlign w:val="baseline"/>
                <w:lang w:eastAsia="zh-CN"/>
              </w:rPr>
              <w:t>凤奕村</w:t>
            </w:r>
            <w:r>
              <w:rPr>
                <w:rFonts w:hint="default" w:ascii="Times New Roman" w:hAnsi="Times New Roman" w:cs="Times New Roman"/>
                <w:color w:val="auto"/>
                <w:sz w:val="21"/>
                <w:szCs w:val="21"/>
                <w:vertAlign w:val="baseline"/>
                <w:lang w:eastAsia="zh-CN"/>
              </w:rPr>
              <w:t>（远景）</w:t>
            </w:r>
          </w:p>
        </w:tc>
        <w:tc>
          <w:tcPr>
            <w:tcW w:w="4644" w:type="dxa"/>
            <w:vAlign w:val="center"/>
          </w:tcPr>
          <w:p w14:paraId="3198D083">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vertAlign w:val="baseline"/>
                <w:lang w:eastAsia="zh-CN"/>
              </w:rPr>
              <w:t>凤奕村</w:t>
            </w:r>
            <w:r>
              <w:rPr>
                <w:rFonts w:hint="default" w:ascii="Times New Roman" w:hAnsi="Times New Roman" w:cs="Times New Roman"/>
                <w:color w:val="auto"/>
                <w:sz w:val="21"/>
                <w:szCs w:val="21"/>
                <w:vertAlign w:val="baseline"/>
                <w:lang w:eastAsia="zh-CN"/>
              </w:rPr>
              <w:t>（近景）</w:t>
            </w:r>
          </w:p>
        </w:tc>
      </w:tr>
    </w:tbl>
    <w:p w14:paraId="3694A845">
      <w:pPr>
        <w:ind w:left="0" w:leftChars="0" w:firstLine="0" w:firstLineChars="0"/>
        <w:jc w:val="center"/>
        <w:rPr>
          <w:rFonts w:hint="default" w:ascii="Times New Roman" w:hAnsi="Times New Roman" w:cs="Times New Roman" w:eastAsiaTheme="minorEastAsia"/>
          <w:b/>
          <w:bCs/>
          <w:color w:val="auto"/>
          <w:lang w:val="en-US" w:eastAsia="zh-CN"/>
        </w:rPr>
      </w:pPr>
      <w:r>
        <w:rPr>
          <w:rFonts w:hint="default" w:ascii="Times New Roman" w:hAnsi="Times New Roman" w:cs="Times New Roman"/>
          <w:b/>
          <w:bCs/>
          <w:color w:val="auto"/>
          <w:lang w:eastAsia="zh-CN"/>
        </w:rPr>
        <w:t>图</w:t>
      </w:r>
      <w:r>
        <w:rPr>
          <w:rFonts w:hint="default" w:ascii="Times New Roman" w:hAnsi="Times New Roman" w:cs="Times New Roman"/>
          <w:b/>
          <w:bCs/>
          <w:color w:val="auto"/>
          <w:lang w:val="en-US" w:eastAsia="zh-CN"/>
        </w:rPr>
        <w:t>3-4 附近敏感点张贴布告情况</w:t>
      </w:r>
    </w:p>
    <w:p w14:paraId="1D2B7BC0">
      <w:pPr>
        <w:pStyle w:val="21"/>
        <w:keepNext/>
        <w:keepLines/>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rPr>
      </w:pPr>
      <w:bookmarkStart w:id="47" w:name="_Toc21659"/>
      <w:r>
        <w:rPr>
          <w:rFonts w:hint="default" w:ascii="Times New Roman" w:hAnsi="Times New Roman" w:cs="Times New Roman" w:eastAsiaTheme="minorEastAsia"/>
        </w:rPr>
        <w:t>3.3调查方式</w:t>
      </w:r>
      <w:bookmarkEnd w:id="47"/>
    </w:p>
    <w:p w14:paraId="64CDB132">
      <w:pPr>
        <w:tabs>
          <w:tab w:val="left" w:pos="480"/>
        </w:tabs>
        <w:ind w:firstLine="480"/>
        <w:jc w:val="both"/>
        <w:rPr>
          <w:rFonts w:hint="default" w:ascii="Times New Roman" w:hAnsi="Times New Roman" w:cs="Times New Roman"/>
        </w:rPr>
      </w:pPr>
      <w:r>
        <w:rPr>
          <w:rFonts w:hint="default" w:ascii="Times New Roman" w:hAnsi="Times New Roman" w:cs="Times New Roman"/>
        </w:rPr>
        <w:t>本项目征求意见稿公示期间，公众可通过联系建设单位获取征求意见稿或网上自行下载（链接：</w:t>
      </w:r>
      <w:r>
        <w:rPr>
          <w:rFonts w:hint="eastAsia" w:ascii="Times New Roman" w:hAnsi="Times New Roman" w:cs="Times New Roman"/>
          <w:color w:val="000000" w:themeColor="text1"/>
          <w:sz w:val="24"/>
          <w:szCs w:val="24"/>
          <w14:textFill>
            <w14:solidFill>
              <w14:schemeClr w14:val="tx1"/>
            </w14:solidFill>
          </w14:textFill>
        </w:rPr>
        <w:t>http://tf.mopei8.com/news/itemid-19.shtml</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rPr>
        <w:t>，公众可通过填写公众意见表，并通过电子邮件、传真、信函等方式反馈给建设单位或环评单位，公众意见表可网上自行下载（链接：</w:t>
      </w:r>
      <w:r>
        <w:rPr>
          <w:rFonts w:hint="eastAsia" w:ascii="Times New Roman" w:hAnsi="Times New Roman" w:cs="Times New Roman"/>
          <w:color w:val="000000" w:themeColor="text1"/>
          <w:sz w:val="24"/>
          <w:szCs w:val="24"/>
          <w14:textFill>
            <w14:solidFill>
              <w14:schemeClr w14:val="tx1"/>
            </w14:solidFill>
          </w14:textFill>
        </w:rPr>
        <w:t>http://tf.mopei8.com/news/itemid-19.shtml</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rPr>
        <w:t>。</w:t>
      </w:r>
    </w:p>
    <w:p w14:paraId="18C00EFA">
      <w:pPr>
        <w:pStyle w:val="21"/>
        <w:keepNext/>
        <w:keepLines/>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rPr>
      </w:pPr>
      <w:bookmarkStart w:id="48" w:name="_Toc352"/>
      <w:r>
        <w:rPr>
          <w:rFonts w:hint="default" w:ascii="Times New Roman" w:hAnsi="Times New Roman" w:cs="Times New Roman" w:eastAsiaTheme="minorEastAsia"/>
        </w:rPr>
        <w:t>3.4公众提出意见情况</w:t>
      </w:r>
      <w:bookmarkEnd w:id="48"/>
    </w:p>
    <w:p w14:paraId="714CA7BB">
      <w:pPr>
        <w:tabs>
          <w:tab w:val="left" w:pos="480"/>
        </w:tabs>
        <w:ind w:firstLine="480"/>
        <w:rPr>
          <w:rFonts w:hint="default" w:ascii="Times New Roman" w:hAnsi="Times New Roman" w:cs="Times New Roman"/>
        </w:rPr>
      </w:pPr>
      <w:r>
        <w:rPr>
          <w:rFonts w:hint="default" w:ascii="Times New Roman" w:hAnsi="Times New Roman" w:cs="Times New Roman"/>
        </w:rPr>
        <w:t>本项目征求意见稿公示期间，未收到公众关于本项目的反馈意见。</w:t>
      </w:r>
    </w:p>
    <w:p w14:paraId="1E140739">
      <w:pPr>
        <w:pStyle w:val="22"/>
        <w:jc w:val="left"/>
        <w:rPr>
          <w:rFonts w:hint="default" w:ascii="Times New Roman" w:hAnsi="Times New Roman" w:cs="Times New Roman" w:eastAsiaTheme="minorEastAsia"/>
          <w:lang w:val="en-US" w:eastAsia="zh-CN"/>
        </w:rPr>
      </w:pPr>
      <w:bookmarkStart w:id="49" w:name="_Toc16440"/>
      <w:r>
        <w:rPr>
          <w:rFonts w:hint="default" w:ascii="Times New Roman" w:hAnsi="Times New Roman" w:cs="Times New Roman" w:eastAsiaTheme="minorEastAsia"/>
          <w:lang w:val="en-US" w:eastAsia="zh-CN"/>
        </w:rPr>
        <w:t>4.其他公众参与情况</w:t>
      </w:r>
      <w:bookmarkEnd w:id="49"/>
    </w:p>
    <w:p w14:paraId="44670DF4">
      <w:pPr>
        <w:ind w:firstLine="480"/>
        <w:rPr>
          <w:rFonts w:hint="default" w:ascii="Times New Roman" w:hAnsi="Times New Roman" w:cs="Times New Roman"/>
        </w:rPr>
      </w:pPr>
      <w:r>
        <w:rPr>
          <w:rFonts w:hint="default" w:ascii="Times New Roman" w:hAnsi="Times New Roman" w:cs="Times New Roman"/>
        </w:rPr>
        <w:t>根据《环境影响评价公众参与办法》中要求，对环境影响方面公众质疑性意见多的建设项目，建设单位应当组织开展深度公众参与。本项目自20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1</w:t>
      </w:r>
      <w:r>
        <w:rPr>
          <w:rFonts w:hint="default" w:ascii="Times New Roman" w:hAnsi="Times New Roman" w:cs="Times New Roman"/>
        </w:rPr>
        <w:t>月</w:t>
      </w:r>
      <w:r>
        <w:rPr>
          <w:rFonts w:hint="eastAsia" w:ascii="Times New Roman" w:hAnsi="Times New Roman" w:cs="Times New Roman"/>
          <w:lang w:val="en-US" w:eastAsia="zh-CN"/>
        </w:rPr>
        <w:t>9</w:t>
      </w:r>
      <w:r>
        <w:rPr>
          <w:rFonts w:hint="default" w:ascii="Times New Roman" w:hAnsi="Times New Roman" w:cs="Times New Roman"/>
        </w:rPr>
        <w:t>日首次环境影响评价信息公开起，至今未收到公众以任何形式提出的意见，不属于《环境影响评价公众参与办法》中规定的“对环境影响方面公众质疑性意见多的建设项目”，因此无需开展深度（座谈会等）公众参与。</w:t>
      </w:r>
    </w:p>
    <w:p w14:paraId="760F730B">
      <w:pPr>
        <w:pStyle w:val="22"/>
        <w:jc w:val="left"/>
        <w:rPr>
          <w:rFonts w:hint="default" w:ascii="Times New Roman" w:hAnsi="Times New Roman" w:cs="Times New Roman" w:eastAsiaTheme="minorEastAsia"/>
        </w:rPr>
      </w:pPr>
      <w:bookmarkStart w:id="50" w:name="_Toc23399"/>
      <w:bookmarkStart w:id="51" w:name="_Toc14430"/>
      <w:bookmarkStart w:id="52" w:name="_Toc4841"/>
      <w:r>
        <w:rPr>
          <w:rFonts w:hint="default" w:ascii="Times New Roman" w:hAnsi="Times New Roman" w:cs="Times New Roman" w:eastAsiaTheme="minorEastAsia"/>
          <w:lang w:val="en-US" w:eastAsia="zh-CN"/>
        </w:rPr>
        <w:t>5</w:t>
      </w:r>
      <w:r>
        <w:rPr>
          <w:rFonts w:hint="default" w:ascii="Times New Roman" w:hAnsi="Times New Roman" w:cs="Times New Roman" w:eastAsiaTheme="minorEastAsia"/>
        </w:rPr>
        <w:t>.</w:t>
      </w:r>
      <w:bookmarkEnd w:id="50"/>
      <w:bookmarkEnd w:id="51"/>
      <w:r>
        <w:rPr>
          <w:rFonts w:hint="default" w:ascii="Times New Roman" w:hAnsi="Times New Roman" w:cs="Times New Roman" w:eastAsiaTheme="minorEastAsia"/>
        </w:rPr>
        <w:t>公众意见处理情况</w:t>
      </w:r>
      <w:bookmarkEnd w:id="52"/>
    </w:p>
    <w:p w14:paraId="7D582D00">
      <w:pPr>
        <w:ind w:firstLine="480"/>
        <w:rPr>
          <w:rFonts w:hint="default" w:ascii="Times New Roman" w:hAnsi="Times New Roman" w:cs="Times New Roman"/>
        </w:rPr>
      </w:pPr>
      <w:r>
        <w:rPr>
          <w:rFonts w:hint="default" w:ascii="Times New Roman" w:hAnsi="Times New Roman" w:cs="Times New Roman"/>
        </w:rPr>
        <w:t>本项目在</w:t>
      </w:r>
      <w:r>
        <w:rPr>
          <w:rFonts w:hint="eastAsia" w:ascii="Times New Roman" w:hAnsi="Times New Roman" w:cs="Times New Roman"/>
          <w:lang w:eastAsia="zh-CN"/>
        </w:rPr>
        <w:t>全国建设项目环境信息公示平台</w:t>
      </w:r>
      <w:r>
        <w:rPr>
          <w:rFonts w:hint="default" w:ascii="Times New Roman" w:hAnsi="Times New Roman" w:cs="Times New Roman"/>
        </w:rPr>
        <w:t>首次公开环境影响评价信息期间，未收到公众的反馈意见。本项目征求意见稿公示期间，未收到公众关于本项目的反馈意见。</w:t>
      </w:r>
    </w:p>
    <w:p w14:paraId="3B2F8257">
      <w:pPr>
        <w:pStyle w:val="22"/>
        <w:jc w:val="left"/>
        <w:rPr>
          <w:rFonts w:hint="default" w:ascii="Times New Roman" w:hAnsi="Times New Roman" w:cs="Times New Roman" w:eastAsiaTheme="minorEastAsia"/>
          <w:color w:val="000000" w:themeColor="text1"/>
          <w14:textFill>
            <w14:solidFill>
              <w14:schemeClr w14:val="tx1"/>
            </w14:solidFill>
          </w14:textFill>
        </w:rPr>
      </w:pPr>
      <w:bookmarkStart w:id="69" w:name="_GoBack"/>
      <w:bookmarkEnd w:id="69"/>
      <w:bookmarkStart w:id="53" w:name="_Toc4380"/>
      <w:r>
        <w:rPr>
          <w:rFonts w:hint="default" w:ascii="Times New Roman" w:hAnsi="Times New Roman" w:cs="Times New Roman" w:eastAsiaTheme="minorEastAsia"/>
          <w:color w:val="000000" w:themeColor="text1"/>
          <w:lang w:val="en-US" w:eastAsia="zh-CN"/>
          <w14:textFill>
            <w14:solidFill>
              <w14:schemeClr w14:val="tx1"/>
            </w14:solidFill>
          </w14:textFill>
        </w:rPr>
        <w:t>6</w:t>
      </w:r>
      <w:r>
        <w:rPr>
          <w:rFonts w:hint="default" w:ascii="Times New Roman" w:hAnsi="Times New Roman" w:cs="Times New Roman" w:eastAsiaTheme="minorEastAsia"/>
          <w:color w:val="000000" w:themeColor="text1"/>
          <w14:textFill>
            <w14:solidFill>
              <w14:schemeClr w14:val="tx1"/>
            </w14:solidFill>
          </w14:textFill>
        </w:rPr>
        <w:t>.报批前公开情况</w:t>
      </w:r>
      <w:bookmarkEnd w:id="53"/>
    </w:p>
    <w:p w14:paraId="7819C590">
      <w:pPr>
        <w:pStyle w:val="21"/>
        <w:spacing w:before="166" w:after="166"/>
        <w:rPr>
          <w:rFonts w:hint="default" w:ascii="Times New Roman" w:hAnsi="Times New Roman" w:cs="Times New Roman" w:eastAsiaTheme="minorEastAsia"/>
          <w:color w:val="000000" w:themeColor="text1"/>
          <w14:textFill>
            <w14:solidFill>
              <w14:schemeClr w14:val="tx1"/>
            </w14:solidFill>
          </w14:textFill>
        </w:rPr>
      </w:pPr>
      <w:bookmarkStart w:id="54" w:name="_Toc2013"/>
      <w:r>
        <w:rPr>
          <w:rFonts w:hint="default" w:ascii="Times New Roman" w:hAnsi="Times New Roman" w:cs="Times New Roman" w:eastAsiaTheme="minorEastAsia"/>
          <w:color w:val="000000" w:themeColor="text1"/>
          <w:lang w:val="en-US" w:eastAsia="zh-CN"/>
          <w14:textFill>
            <w14:solidFill>
              <w14:schemeClr w14:val="tx1"/>
            </w14:solidFill>
          </w14:textFill>
        </w:rPr>
        <w:t>6</w:t>
      </w:r>
      <w:r>
        <w:rPr>
          <w:rFonts w:hint="default" w:ascii="Times New Roman" w:hAnsi="Times New Roman" w:cs="Times New Roman" w:eastAsiaTheme="minorEastAsia"/>
          <w:color w:val="000000" w:themeColor="text1"/>
          <w14:textFill>
            <w14:solidFill>
              <w14:schemeClr w14:val="tx1"/>
            </w14:solidFill>
          </w14:textFill>
        </w:rPr>
        <w:t>.1公开内容及日期</w:t>
      </w:r>
      <w:bookmarkEnd w:id="54"/>
    </w:p>
    <w:p w14:paraId="6F24E04D">
      <w:pPr>
        <w:tabs>
          <w:tab w:val="left" w:pos="480"/>
        </w:tabs>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本项目在向生态环境主管部门报批环境影响报告书前，于20</w:t>
      </w:r>
      <w:r>
        <w:rPr>
          <w:rFonts w:hint="eastAsia" w:ascii="Times New Roman" w:hAnsi="Times New Roman" w:cs="Times New Roman"/>
          <w:color w:val="000000" w:themeColor="text1"/>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日采用建设项目所在地且公众易于接触的</w:t>
      </w:r>
      <w:r>
        <w:rPr>
          <w:rFonts w:hint="eastAsia" w:ascii="Times New Roman" w:hAnsi="Times New Roman" w:cs="Times New Roman"/>
          <w:color w:val="000000" w:themeColor="text1"/>
          <w:lang w:eastAsia="zh-CN"/>
          <w14:textFill>
            <w14:solidFill>
              <w14:schemeClr w14:val="tx1"/>
            </w14:solidFill>
          </w14:textFill>
        </w:rPr>
        <w:t>全国建设项目环境信息公示平台</w:t>
      </w:r>
      <w:r>
        <w:rPr>
          <w:rFonts w:hint="default" w:ascii="Times New Roman" w:hAnsi="Times New Roman" w:cs="Times New Roman"/>
          <w:color w:val="000000" w:themeColor="text1"/>
          <w14:textFill>
            <w14:solidFill>
              <w14:schemeClr w14:val="tx1"/>
            </w14:solidFill>
          </w14:textFill>
        </w:rPr>
        <w:t>公开拟报批的环境影响报告书全文和公众参与说明，截图见图</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-1，符合《环境影响评价公众参与办法》要求。</w:t>
      </w:r>
    </w:p>
    <w:p w14:paraId="1D294E0A">
      <w:pPr>
        <w:pStyle w:val="21"/>
        <w:spacing w:before="166" w:after="166"/>
        <w:rPr>
          <w:rFonts w:hint="default" w:ascii="Times New Roman" w:hAnsi="Times New Roman" w:cs="Times New Roman" w:eastAsiaTheme="minorEastAsia"/>
          <w:color w:val="000000" w:themeColor="text1"/>
          <w14:textFill>
            <w14:solidFill>
              <w14:schemeClr w14:val="tx1"/>
            </w14:solidFill>
          </w14:textFill>
        </w:rPr>
      </w:pPr>
      <w:bookmarkStart w:id="55" w:name="_Toc4859"/>
      <w:r>
        <w:rPr>
          <w:rFonts w:hint="default" w:ascii="Times New Roman" w:hAnsi="Times New Roman" w:cs="Times New Roman" w:eastAsiaTheme="minorEastAsia"/>
          <w:color w:val="000000" w:themeColor="text1"/>
          <w:lang w:val="en-US" w:eastAsia="zh-CN"/>
          <w14:textFill>
            <w14:solidFill>
              <w14:schemeClr w14:val="tx1"/>
            </w14:solidFill>
          </w14:textFill>
        </w:rPr>
        <w:t>6</w:t>
      </w:r>
      <w:r>
        <w:rPr>
          <w:rFonts w:hint="default" w:ascii="Times New Roman" w:hAnsi="Times New Roman" w:cs="Times New Roman" w:eastAsiaTheme="minorEastAsia"/>
          <w:color w:val="000000" w:themeColor="text1"/>
          <w14:textFill>
            <w14:solidFill>
              <w14:schemeClr w14:val="tx1"/>
            </w14:solidFill>
          </w14:textFill>
        </w:rPr>
        <w:t>.2公开方式（网络）</w:t>
      </w:r>
      <w:bookmarkEnd w:id="55"/>
    </w:p>
    <w:p w14:paraId="2BFC19C9">
      <w:pPr>
        <w:tabs>
          <w:tab w:val="left" w:pos="480"/>
        </w:tabs>
        <w:ind w:firstLine="480"/>
        <w:rPr>
          <w:rFonts w:hint="eastAsia"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网络公开链接地址：</w:t>
      </w:r>
      <w:r>
        <w:rPr>
          <w:rFonts w:hint="default" w:ascii="Times New Roman" w:hAnsi="Times New Roman" w:cs="Times New Roman"/>
          <w:color w:val="000000" w:themeColor="text1"/>
          <w:lang w:val="en-US" w:eastAsia="zh-CN"/>
          <w14:textFill>
            <w14:solidFill>
              <w14:schemeClr w14:val="tx1"/>
            </w14:solidFill>
          </w14:textFill>
        </w:rPr>
        <w:t>https://www.eiacloud.com/gs/detail/1?id=50902EFxZM</w:t>
      </w:r>
      <w:r>
        <w:rPr>
          <w:rFonts w:hint="default" w:ascii="Times New Roman" w:hAnsi="Times New Roman" w:cs="Times New Roman"/>
          <w:color w:val="000000" w:themeColor="text1"/>
          <w14:textFill>
            <w14:solidFill>
              <w14:schemeClr w14:val="tx1"/>
            </w14:solidFill>
          </w14:textFill>
        </w:rPr>
        <w:t>，网络公开截图见图</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-1。公开时间：20</w:t>
      </w:r>
      <w:r>
        <w:rPr>
          <w:rFonts w:hint="eastAsia" w:ascii="Times New Roman" w:hAnsi="Times New Roman" w:cs="Times New Roman"/>
          <w:color w:val="000000" w:themeColor="text1"/>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日</w:t>
      </w:r>
      <w:r>
        <w:rPr>
          <w:rFonts w:hint="eastAsia" w:ascii="Times New Roman" w:hAnsi="Times New Roman" w:cs="Times New Roman"/>
          <w:color w:val="000000" w:themeColor="text1"/>
          <w:lang w:eastAsia="zh-CN"/>
          <w14:textFill>
            <w14:solidFill>
              <w14:schemeClr w14:val="tx1"/>
            </w14:solidFill>
          </w14:textFill>
        </w:rPr>
        <w:t>。</w:t>
      </w:r>
    </w:p>
    <w:p w14:paraId="19FEFC86">
      <w:pPr>
        <w:tabs>
          <w:tab w:val="left" w:pos="480"/>
        </w:tabs>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载体选取的符合性分析：本项目报批前公开方式采用建设项目所在地且公众易于接触的</w:t>
      </w:r>
      <w:r>
        <w:rPr>
          <w:rFonts w:hint="eastAsia" w:ascii="Times New Roman" w:hAnsi="Times New Roman" w:cs="Times New Roman"/>
          <w:color w:val="000000" w:themeColor="text1"/>
          <w:lang w:eastAsia="zh-CN"/>
          <w14:textFill>
            <w14:solidFill>
              <w14:schemeClr w14:val="tx1"/>
            </w14:solidFill>
          </w14:textFill>
        </w:rPr>
        <w:t>全国建设项目环境信息公示平台该</w:t>
      </w:r>
      <w:r>
        <w:rPr>
          <w:rFonts w:hint="default" w:ascii="Times New Roman" w:hAnsi="Times New Roman" w:cs="Times New Roman"/>
          <w:color w:val="000000" w:themeColor="text1"/>
          <w14:textFill>
            <w14:solidFill>
              <w14:schemeClr w14:val="tx1"/>
            </w14:solidFill>
          </w14:textFill>
        </w:rPr>
        <w:t>，于20</w:t>
      </w:r>
      <w:r>
        <w:rPr>
          <w:rFonts w:hint="eastAsia" w:ascii="Times New Roman" w:hAnsi="Times New Roman" w:cs="Times New Roman"/>
          <w:color w:val="000000" w:themeColor="text1"/>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日网上公开拟报批的环境影响报告书全文和公众参与说明。因此本项目报批前公开载体的选取符合《环境影响评价公众参与办法》要求。</w:t>
      </w:r>
      <w:r>
        <w:drawing>
          <wp:inline distT="0" distB="0" distL="114300" distR="114300">
            <wp:extent cx="5271135" cy="2632075"/>
            <wp:effectExtent l="0" t="0" r="5715" b="1587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271135" cy="2632075"/>
                    </a:xfrm>
                    <a:prstGeom prst="rect">
                      <a:avLst/>
                    </a:prstGeom>
                    <a:noFill/>
                    <a:ln>
                      <a:noFill/>
                    </a:ln>
                  </pic:spPr>
                </pic:pic>
              </a:graphicData>
            </a:graphic>
          </wp:inline>
        </w:drawing>
      </w:r>
    </w:p>
    <w:p w14:paraId="515B7D71">
      <w:pPr>
        <w:tabs>
          <w:tab w:val="left" w:pos="480"/>
        </w:tabs>
        <w:ind w:firstLine="0" w:firstLineChars="0"/>
        <w:jc w:val="center"/>
        <w:rPr>
          <w:rFonts w:hint="eastAsia" w:ascii="Times New Roman" w:hAnsi="Times New Roman" w:cs="Times New Roman" w:eastAsiaTheme="minorEastAsia"/>
          <w:b/>
          <w:color w:val="000000" w:themeColor="text1"/>
          <w:lang w:eastAsia="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图</w:t>
      </w:r>
      <w:r>
        <w:rPr>
          <w:rFonts w:hint="default" w:ascii="Times New Roman" w:hAnsi="Times New Roman" w:cs="Times New Roman"/>
          <w:b/>
          <w:color w:val="000000" w:themeColor="text1"/>
          <w:lang w:val="en-US" w:eastAsia="zh-CN"/>
          <w14:textFill>
            <w14:solidFill>
              <w14:schemeClr w14:val="tx1"/>
            </w14:solidFill>
          </w14:textFill>
        </w:rPr>
        <w:t>6</w:t>
      </w:r>
      <w:r>
        <w:rPr>
          <w:rFonts w:hint="default" w:ascii="Times New Roman" w:hAnsi="Times New Roman" w:cs="Times New Roman"/>
          <w:b/>
          <w:color w:val="000000" w:themeColor="text1"/>
          <w14:textFill>
            <w14:solidFill>
              <w14:schemeClr w14:val="tx1"/>
            </w14:solidFill>
          </w14:textFill>
        </w:rPr>
        <w:t>-1 报批前网络公开截图</w:t>
      </w:r>
    </w:p>
    <w:p w14:paraId="4F352DA2">
      <w:pPr>
        <w:pStyle w:val="22"/>
        <w:jc w:val="left"/>
        <w:rPr>
          <w:rFonts w:hint="default" w:ascii="Times New Roman" w:hAnsi="Times New Roman" w:cs="Times New Roman" w:eastAsiaTheme="minorEastAsia"/>
        </w:rPr>
      </w:pPr>
      <w:bookmarkStart w:id="56" w:name="_Toc6444"/>
      <w:r>
        <w:rPr>
          <w:rFonts w:hint="default" w:ascii="Times New Roman" w:hAnsi="Times New Roman" w:cs="Times New Roman" w:eastAsiaTheme="minorEastAsia"/>
          <w:lang w:val="en-US" w:eastAsia="zh-CN"/>
        </w:rPr>
        <w:t>7</w:t>
      </w:r>
      <w:r>
        <w:rPr>
          <w:rFonts w:hint="default" w:ascii="Times New Roman" w:hAnsi="Times New Roman" w:cs="Times New Roman" w:eastAsiaTheme="minorEastAsia"/>
        </w:rPr>
        <w:t>.其他</w:t>
      </w:r>
      <w:bookmarkEnd w:id="56"/>
    </w:p>
    <w:p w14:paraId="50015921">
      <w:pPr>
        <w:tabs>
          <w:tab w:val="left" w:pos="480"/>
        </w:tabs>
        <w:ind w:firstLine="480"/>
        <w:rPr>
          <w:rFonts w:hint="default" w:ascii="Times New Roman" w:hAnsi="Times New Roman" w:cs="Times New Roman"/>
        </w:rPr>
      </w:pPr>
      <w:r>
        <w:rPr>
          <w:rFonts w:hint="default" w:ascii="Times New Roman" w:hAnsi="Times New Roman" w:cs="Times New Roman"/>
        </w:rPr>
        <w:t>本项目在</w:t>
      </w:r>
      <w:r>
        <w:rPr>
          <w:rFonts w:hint="eastAsia" w:ascii="Times New Roman" w:hAnsi="Times New Roman" w:cs="Times New Roman"/>
          <w:lang w:eastAsia="zh-CN"/>
        </w:rPr>
        <w:t>全国建设项目环境信息公示平台</w:t>
      </w:r>
      <w:r>
        <w:rPr>
          <w:rFonts w:hint="default" w:ascii="Times New Roman" w:hAnsi="Times New Roman" w:cs="Times New Roman"/>
        </w:rPr>
        <w:t>首次公开环境影响评价信息期间及征求意见稿公示期间，均未收到关于本项目的反馈意见。</w:t>
      </w:r>
    </w:p>
    <w:p w14:paraId="049FED41">
      <w:pPr>
        <w:pStyle w:val="22"/>
        <w:jc w:val="left"/>
        <w:rPr>
          <w:rFonts w:hint="default" w:ascii="Times New Roman" w:hAnsi="Times New Roman" w:cs="Times New Roman" w:eastAsiaTheme="minorEastAsia"/>
        </w:rPr>
      </w:pPr>
      <w:bookmarkStart w:id="57" w:name="_Toc29985"/>
      <w:bookmarkStart w:id="58" w:name="_Toc22046"/>
      <w:bookmarkStart w:id="59" w:name="_Toc28393"/>
      <w:bookmarkStart w:id="60" w:name="_Toc280776077"/>
      <w:bookmarkStart w:id="61" w:name="_Toc375572352"/>
      <w:bookmarkStart w:id="62" w:name="_Toc323741168"/>
      <w:bookmarkStart w:id="63" w:name="_Toc345256244"/>
      <w:bookmarkStart w:id="64" w:name="_Toc317235728"/>
      <w:bookmarkStart w:id="65" w:name="_Toc218481394"/>
      <w:bookmarkStart w:id="66" w:name="_Toc19155"/>
      <w:bookmarkStart w:id="67" w:name="_Toc211255449"/>
      <w:bookmarkStart w:id="68" w:name="_Toc263951536"/>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rPr>
        <w:t>.</w:t>
      </w:r>
      <w:bookmarkEnd w:id="57"/>
      <w:bookmarkEnd w:id="58"/>
      <w:r>
        <w:rPr>
          <w:rFonts w:hint="default" w:ascii="Times New Roman" w:hAnsi="Times New Roman" w:cs="Times New Roman" w:eastAsiaTheme="minorEastAsia"/>
        </w:rPr>
        <w:t>诚信承诺</w:t>
      </w:r>
      <w:bookmarkEnd w:id="59"/>
    </w:p>
    <w:p w14:paraId="09C6FD26">
      <w:pPr>
        <w:ind w:firstLine="480"/>
        <w:rPr>
          <w:rFonts w:hint="default" w:ascii="Times New Roman" w:hAnsi="Times New Roman" w:cs="Times New Roman"/>
        </w:rPr>
      </w:pPr>
      <w:r>
        <w:rPr>
          <w:rFonts w:hint="default" w:ascii="Times New Roman" w:hAnsi="Times New Roman" w:cs="Times New Roman"/>
        </w:rPr>
        <w:t>我单位已按照《环境影响评价公众参与办法》（部令 第4号）要求，在</w:t>
      </w:r>
      <w:r>
        <w:rPr>
          <w:rFonts w:hint="default" w:ascii="Times New Roman" w:hAnsi="Times New Roman" w:cs="Times New Roman"/>
          <w:sz w:val="24"/>
          <w:szCs w:val="24"/>
        </w:rPr>
        <w:t>广东腾飞摩托车配件有限公司年电镀加工摩托车配件40万平方米迁建项目</w:t>
      </w:r>
      <w:r>
        <w:rPr>
          <w:rFonts w:hint="default" w:ascii="Times New Roman" w:hAnsi="Times New Roman" w:cs="Times New Roman"/>
        </w:rPr>
        <w:t>环境影响报告书编制阶段开展了公众参与工作，在环境影响报告书中充分采纳了公众提出的与环境影响相关的合理意见，对未采纳的意见按要求进行了说明，并按照要求编制了公众参与说明。</w:t>
      </w:r>
    </w:p>
    <w:p w14:paraId="6D331061">
      <w:pPr>
        <w:ind w:firstLine="480"/>
        <w:rPr>
          <w:rFonts w:hint="default" w:ascii="Times New Roman" w:hAnsi="Times New Roman" w:cs="Times New Roman"/>
        </w:rPr>
      </w:pPr>
      <w:r>
        <w:rPr>
          <w:rFonts w:hint="default" w:ascii="Times New Roman" w:hAnsi="Times New Roman" w:cs="Times New Roman"/>
        </w:rPr>
        <w:t>我单位承诺，本次提交的《</w:t>
      </w:r>
      <w:r>
        <w:rPr>
          <w:rFonts w:hint="default" w:ascii="Times New Roman" w:hAnsi="Times New Roman" w:cs="Times New Roman"/>
          <w:sz w:val="24"/>
          <w:szCs w:val="24"/>
        </w:rPr>
        <w:t>广东腾飞摩托车配件有限公司年电镀加工摩托车配件40万平方米迁建项目</w:t>
      </w:r>
      <w:r>
        <w:rPr>
          <w:rFonts w:hint="default" w:ascii="Times New Roman" w:hAnsi="Times New Roman" w:cs="Times New Roman"/>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lang w:eastAsia="zh-CN"/>
        </w:rPr>
        <w:t>广东腾飞摩托车配件有限公司</w:t>
      </w:r>
      <w:r>
        <w:rPr>
          <w:rFonts w:hint="default" w:ascii="Times New Roman" w:hAnsi="Times New Roman" w:cs="Times New Roman"/>
        </w:rPr>
        <w:t>承担全部责任。</w:t>
      </w:r>
    </w:p>
    <w:p w14:paraId="7EDE93C4">
      <w:pPr>
        <w:ind w:firstLine="480"/>
        <w:rPr>
          <w:rFonts w:hint="default" w:ascii="Times New Roman" w:hAnsi="Times New Roman" w:cs="Times New Roman"/>
        </w:rPr>
      </w:pPr>
    </w:p>
    <w:p w14:paraId="3ED31FBA">
      <w:pPr>
        <w:ind w:firstLine="480"/>
        <w:jc w:val="right"/>
        <w:rPr>
          <w:rFonts w:hint="default" w:ascii="Times New Roman" w:hAnsi="Times New Roman" w:cs="Times New Roman"/>
        </w:rPr>
      </w:pPr>
      <w:r>
        <w:rPr>
          <w:rFonts w:hint="default" w:ascii="Times New Roman" w:hAnsi="Times New Roman" w:cs="Times New Roman"/>
        </w:rPr>
        <w:t>承诺单位：</w:t>
      </w:r>
      <w:r>
        <w:rPr>
          <w:rFonts w:hint="default" w:ascii="Times New Roman" w:hAnsi="Times New Roman" w:cs="Times New Roman"/>
          <w:sz w:val="24"/>
          <w:szCs w:val="24"/>
        </w:rPr>
        <w:t>广东腾飞摩托车配件有限公司</w:t>
      </w:r>
    </w:p>
    <w:p w14:paraId="5749D19E">
      <w:pPr>
        <w:ind w:firstLine="480"/>
        <w:jc w:val="right"/>
        <w:rPr>
          <w:rFonts w:hint="default" w:ascii="Times New Roman" w:hAnsi="Times New Roman" w:cs="Times New Roman"/>
        </w:rPr>
      </w:pPr>
      <w:r>
        <w:rPr>
          <w:rFonts w:hint="default" w:ascii="Times New Roman" w:hAnsi="Times New Roman" w:cs="Times New Roman"/>
          <w:color w:val="000000" w:themeColor="text1"/>
          <w14:textFill>
            <w14:solidFill>
              <w14:schemeClr w14:val="tx1"/>
            </w14:solidFill>
          </w14:textFill>
        </w:rPr>
        <w:t>承诺时间：20</w:t>
      </w:r>
      <w:r>
        <w:rPr>
          <w:rFonts w:hint="eastAsia" w:ascii="Times New Roman" w:hAnsi="Times New Roman" w:cs="Times New Roman"/>
          <w:color w:val="000000" w:themeColor="text1"/>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日</w:t>
      </w:r>
      <w:bookmarkEnd w:id="60"/>
      <w:bookmarkEnd w:id="61"/>
      <w:bookmarkEnd w:id="62"/>
      <w:bookmarkEnd w:id="63"/>
      <w:bookmarkEnd w:id="64"/>
      <w:bookmarkEnd w:id="65"/>
      <w:bookmarkEnd w:id="66"/>
      <w:bookmarkEnd w:id="67"/>
      <w:bookmarkEnd w:id="68"/>
    </w:p>
    <w:sectPr>
      <w:headerReference r:id="rId5" w:type="default"/>
      <w:footerReference r:id="rId6" w:type="default"/>
      <w:pgSz w:w="11906" w:h="16838"/>
      <w:pgMar w:top="1440" w:right="1800" w:bottom="1440" w:left="1800" w:header="851" w:footer="992" w:gutter="0"/>
      <w:pgNumType w:start="1"/>
      <w:cols w:space="0" w:num="1"/>
      <w:docGrid w:type="lines" w:linePitch="33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9C217">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7020" cy="209550"/>
              <wp:effectExtent l="0" t="0" r="11430" b="12700"/>
              <wp:wrapNone/>
              <wp:docPr id="10" name="文本框 29"/>
              <wp:cNvGraphicFramePr/>
              <a:graphic xmlns:a="http://schemas.openxmlformats.org/drawingml/2006/main">
                <a:graphicData uri="http://schemas.microsoft.com/office/word/2010/wordprocessingShape">
                  <wps:wsp>
                    <wps:cNvSpPr txBox="1"/>
                    <wps:spPr>
                      <a:xfrm>
                        <a:off x="0" y="0"/>
                        <a:ext cx="287020" cy="209550"/>
                      </a:xfrm>
                      <a:prstGeom prst="rect">
                        <a:avLst/>
                      </a:prstGeom>
                      <a:noFill/>
                      <a:ln w="6350">
                        <a:noFill/>
                      </a:ln>
                    </wps:spPr>
                    <wps:txbx>
                      <w:txbxContent>
                        <w:p w14:paraId="5B95F2AB">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9" o:spid="_x0000_s1026" o:spt="202" type="#_x0000_t202" style="position:absolute;left:0pt;margin-top:0pt;height:16.5pt;width:22.6pt;mso-position-horizontal:center;mso-position-horizontal-relative:margin;mso-wrap-style:none;z-index:251659264;mso-width-relative:page;mso-height-relative:page;" filled="f" stroked="f" coordsize="21600,21600" o:gfxdata="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7hyC0wAAAAMBAAAPAAAAAAAAAAEAIAAAACIAAABkcnMvZG93bnJldi54bWxQSwECFAAU&#10;AAAACACHTuJAxX3GDi8CAABVBAAADgAAAAAAAAABACAAAAAiAQAAZHJzL2Uyb0RvYy54bWxQSwUG&#10;AAAAAAYABgBZAQAAwwUAAAAA&#10;">
              <v:fill on="f" focussize="0,0"/>
              <v:stroke on="f" weight="0.5pt"/>
              <v:imagedata o:title=""/>
              <o:lock v:ext="edit" aspectratio="f"/>
              <v:textbox inset="0mm,0mm,0mm,0mm" style="mso-fit-shape-to-text:t;">
                <w:txbxContent>
                  <w:p w14:paraId="5B95F2AB">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51923">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mYWQ1MzNhNjIyNGU5ZjY1Y2M1MWM5MzBlMjFiMzcifQ=="/>
  </w:docVars>
  <w:rsids>
    <w:rsidRoot w:val="6CA75186"/>
    <w:rsid w:val="00006060"/>
    <w:rsid w:val="00011228"/>
    <w:rsid w:val="00011640"/>
    <w:rsid w:val="00011AD4"/>
    <w:rsid w:val="0001411E"/>
    <w:rsid w:val="0002286C"/>
    <w:rsid w:val="00027980"/>
    <w:rsid w:val="00030FC7"/>
    <w:rsid w:val="00041E92"/>
    <w:rsid w:val="00050AD4"/>
    <w:rsid w:val="00062693"/>
    <w:rsid w:val="00062D2D"/>
    <w:rsid w:val="00072595"/>
    <w:rsid w:val="00075D02"/>
    <w:rsid w:val="00075EA6"/>
    <w:rsid w:val="0008198C"/>
    <w:rsid w:val="00097F18"/>
    <w:rsid w:val="000A0463"/>
    <w:rsid w:val="000A26D1"/>
    <w:rsid w:val="000A6DEC"/>
    <w:rsid w:val="000A740A"/>
    <w:rsid w:val="000B1FC2"/>
    <w:rsid w:val="000C1026"/>
    <w:rsid w:val="000C76FC"/>
    <w:rsid w:val="000D0FC1"/>
    <w:rsid w:val="0010320C"/>
    <w:rsid w:val="0013190A"/>
    <w:rsid w:val="001375C6"/>
    <w:rsid w:val="001465B1"/>
    <w:rsid w:val="00164653"/>
    <w:rsid w:val="00170A4D"/>
    <w:rsid w:val="00174D11"/>
    <w:rsid w:val="001856A7"/>
    <w:rsid w:val="00185E36"/>
    <w:rsid w:val="0019042F"/>
    <w:rsid w:val="00190D17"/>
    <w:rsid w:val="001A221C"/>
    <w:rsid w:val="001A2B4D"/>
    <w:rsid w:val="001B3181"/>
    <w:rsid w:val="001B4D3F"/>
    <w:rsid w:val="001C0891"/>
    <w:rsid w:val="001C6DBD"/>
    <w:rsid w:val="001D0F06"/>
    <w:rsid w:val="001E2A1F"/>
    <w:rsid w:val="001E2FD2"/>
    <w:rsid w:val="001E38B0"/>
    <w:rsid w:val="001E4FC9"/>
    <w:rsid w:val="001F2527"/>
    <w:rsid w:val="001F6F82"/>
    <w:rsid w:val="002018D5"/>
    <w:rsid w:val="00203FA9"/>
    <w:rsid w:val="00212EC8"/>
    <w:rsid w:val="00217A9B"/>
    <w:rsid w:val="002238C0"/>
    <w:rsid w:val="0023593C"/>
    <w:rsid w:val="002438C3"/>
    <w:rsid w:val="00260557"/>
    <w:rsid w:val="00264DC2"/>
    <w:rsid w:val="0026572D"/>
    <w:rsid w:val="00267343"/>
    <w:rsid w:val="002769CD"/>
    <w:rsid w:val="002835CE"/>
    <w:rsid w:val="00283FF3"/>
    <w:rsid w:val="00293553"/>
    <w:rsid w:val="0029734C"/>
    <w:rsid w:val="002B0476"/>
    <w:rsid w:val="002B7EF8"/>
    <w:rsid w:val="002C0940"/>
    <w:rsid w:val="002C6471"/>
    <w:rsid w:val="002E5DFE"/>
    <w:rsid w:val="00300F03"/>
    <w:rsid w:val="00302983"/>
    <w:rsid w:val="003106A5"/>
    <w:rsid w:val="00312C8F"/>
    <w:rsid w:val="003229D5"/>
    <w:rsid w:val="003412C5"/>
    <w:rsid w:val="0034735B"/>
    <w:rsid w:val="003529DF"/>
    <w:rsid w:val="003564B7"/>
    <w:rsid w:val="003661D5"/>
    <w:rsid w:val="00374DEF"/>
    <w:rsid w:val="003750B4"/>
    <w:rsid w:val="00376181"/>
    <w:rsid w:val="00382E71"/>
    <w:rsid w:val="0039046B"/>
    <w:rsid w:val="003B6ACE"/>
    <w:rsid w:val="003E2EE1"/>
    <w:rsid w:val="003E70BD"/>
    <w:rsid w:val="003F45DC"/>
    <w:rsid w:val="003F7A26"/>
    <w:rsid w:val="004123B5"/>
    <w:rsid w:val="0041343B"/>
    <w:rsid w:val="0041685F"/>
    <w:rsid w:val="004168FD"/>
    <w:rsid w:val="004219F4"/>
    <w:rsid w:val="004314D0"/>
    <w:rsid w:val="00440BD7"/>
    <w:rsid w:val="00444DC0"/>
    <w:rsid w:val="00456A48"/>
    <w:rsid w:val="00457C0B"/>
    <w:rsid w:val="00465821"/>
    <w:rsid w:val="0047535C"/>
    <w:rsid w:val="00494BB7"/>
    <w:rsid w:val="004B2EF1"/>
    <w:rsid w:val="004D44CD"/>
    <w:rsid w:val="004E21C0"/>
    <w:rsid w:val="004F7288"/>
    <w:rsid w:val="005049FA"/>
    <w:rsid w:val="00506239"/>
    <w:rsid w:val="00510CD7"/>
    <w:rsid w:val="00520D03"/>
    <w:rsid w:val="00530A36"/>
    <w:rsid w:val="00532EAC"/>
    <w:rsid w:val="00534508"/>
    <w:rsid w:val="00563627"/>
    <w:rsid w:val="00585CAB"/>
    <w:rsid w:val="005946CB"/>
    <w:rsid w:val="005954B5"/>
    <w:rsid w:val="00595D52"/>
    <w:rsid w:val="00596217"/>
    <w:rsid w:val="005C678C"/>
    <w:rsid w:val="005C7622"/>
    <w:rsid w:val="005D03A2"/>
    <w:rsid w:val="005D7730"/>
    <w:rsid w:val="005E03FD"/>
    <w:rsid w:val="005E2D0B"/>
    <w:rsid w:val="005F3A22"/>
    <w:rsid w:val="005F5618"/>
    <w:rsid w:val="005F60B5"/>
    <w:rsid w:val="00600603"/>
    <w:rsid w:val="00611801"/>
    <w:rsid w:val="006221F1"/>
    <w:rsid w:val="006230C6"/>
    <w:rsid w:val="00625E28"/>
    <w:rsid w:val="00652367"/>
    <w:rsid w:val="0066071B"/>
    <w:rsid w:val="00664E60"/>
    <w:rsid w:val="006655DF"/>
    <w:rsid w:val="0066674D"/>
    <w:rsid w:val="00675866"/>
    <w:rsid w:val="00697AA2"/>
    <w:rsid w:val="006A12E7"/>
    <w:rsid w:val="006A7663"/>
    <w:rsid w:val="006B042C"/>
    <w:rsid w:val="006B065D"/>
    <w:rsid w:val="006B6850"/>
    <w:rsid w:val="006C5088"/>
    <w:rsid w:val="006E54C7"/>
    <w:rsid w:val="006F6421"/>
    <w:rsid w:val="00722132"/>
    <w:rsid w:val="00740C05"/>
    <w:rsid w:val="00742F11"/>
    <w:rsid w:val="00750ED3"/>
    <w:rsid w:val="0075378F"/>
    <w:rsid w:val="0075407A"/>
    <w:rsid w:val="00755587"/>
    <w:rsid w:val="0076010C"/>
    <w:rsid w:val="00762BB5"/>
    <w:rsid w:val="00765FD1"/>
    <w:rsid w:val="00770C1C"/>
    <w:rsid w:val="00771B9D"/>
    <w:rsid w:val="00773BB0"/>
    <w:rsid w:val="00784A80"/>
    <w:rsid w:val="007A2EAC"/>
    <w:rsid w:val="007B00A7"/>
    <w:rsid w:val="007B051F"/>
    <w:rsid w:val="007B4704"/>
    <w:rsid w:val="007B5B6B"/>
    <w:rsid w:val="007C1410"/>
    <w:rsid w:val="007C5DC7"/>
    <w:rsid w:val="007C793A"/>
    <w:rsid w:val="007D70DC"/>
    <w:rsid w:val="007E5BB1"/>
    <w:rsid w:val="007E6DC0"/>
    <w:rsid w:val="007E7B5A"/>
    <w:rsid w:val="007F29CD"/>
    <w:rsid w:val="007F4027"/>
    <w:rsid w:val="0080279B"/>
    <w:rsid w:val="00813824"/>
    <w:rsid w:val="00826EC6"/>
    <w:rsid w:val="00854A5F"/>
    <w:rsid w:val="0085516B"/>
    <w:rsid w:val="00863848"/>
    <w:rsid w:val="00872019"/>
    <w:rsid w:val="008758D9"/>
    <w:rsid w:val="008A785E"/>
    <w:rsid w:val="008B4BD6"/>
    <w:rsid w:val="008D46D1"/>
    <w:rsid w:val="008E6D7C"/>
    <w:rsid w:val="008F522E"/>
    <w:rsid w:val="009128BA"/>
    <w:rsid w:val="00914BD7"/>
    <w:rsid w:val="009156FE"/>
    <w:rsid w:val="00927146"/>
    <w:rsid w:val="00957CA8"/>
    <w:rsid w:val="00965BE0"/>
    <w:rsid w:val="00971C4B"/>
    <w:rsid w:val="00983CDA"/>
    <w:rsid w:val="00986000"/>
    <w:rsid w:val="0099532F"/>
    <w:rsid w:val="0099564A"/>
    <w:rsid w:val="009A1D02"/>
    <w:rsid w:val="009A6654"/>
    <w:rsid w:val="009C3076"/>
    <w:rsid w:val="009C5E7A"/>
    <w:rsid w:val="009D4C23"/>
    <w:rsid w:val="009D65B8"/>
    <w:rsid w:val="009E187C"/>
    <w:rsid w:val="009E2175"/>
    <w:rsid w:val="009E2241"/>
    <w:rsid w:val="00A00B22"/>
    <w:rsid w:val="00A06581"/>
    <w:rsid w:val="00A121B8"/>
    <w:rsid w:val="00A27E38"/>
    <w:rsid w:val="00A30829"/>
    <w:rsid w:val="00A30B51"/>
    <w:rsid w:val="00A4037C"/>
    <w:rsid w:val="00A46AD0"/>
    <w:rsid w:val="00A5045C"/>
    <w:rsid w:val="00A80E84"/>
    <w:rsid w:val="00AA59E0"/>
    <w:rsid w:val="00AB5EC0"/>
    <w:rsid w:val="00AC7A55"/>
    <w:rsid w:val="00AE524C"/>
    <w:rsid w:val="00AF3FA0"/>
    <w:rsid w:val="00B04503"/>
    <w:rsid w:val="00B33389"/>
    <w:rsid w:val="00B674F8"/>
    <w:rsid w:val="00B737DC"/>
    <w:rsid w:val="00B73C13"/>
    <w:rsid w:val="00B7528C"/>
    <w:rsid w:val="00B77A6E"/>
    <w:rsid w:val="00B824E8"/>
    <w:rsid w:val="00B95F6B"/>
    <w:rsid w:val="00B96DBF"/>
    <w:rsid w:val="00BA2381"/>
    <w:rsid w:val="00BA778A"/>
    <w:rsid w:val="00BB27D7"/>
    <w:rsid w:val="00BB44CF"/>
    <w:rsid w:val="00BC1BA3"/>
    <w:rsid w:val="00BC3A55"/>
    <w:rsid w:val="00BC66D7"/>
    <w:rsid w:val="00BD728E"/>
    <w:rsid w:val="00BD7795"/>
    <w:rsid w:val="00BF5EA4"/>
    <w:rsid w:val="00BF6D10"/>
    <w:rsid w:val="00C14FD9"/>
    <w:rsid w:val="00C207A9"/>
    <w:rsid w:val="00C40080"/>
    <w:rsid w:val="00C43B25"/>
    <w:rsid w:val="00C55920"/>
    <w:rsid w:val="00C71D69"/>
    <w:rsid w:val="00C84C77"/>
    <w:rsid w:val="00C9367A"/>
    <w:rsid w:val="00CB067B"/>
    <w:rsid w:val="00CB30E3"/>
    <w:rsid w:val="00CD0EDA"/>
    <w:rsid w:val="00CD44DD"/>
    <w:rsid w:val="00CD5198"/>
    <w:rsid w:val="00CE2EC6"/>
    <w:rsid w:val="00CE3627"/>
    <w:rsid w:val="00D00280"/>
    <w:rsid w:val="00D05D61"/>
    <w:rsid w:val="00D13CE4"/>
    <w:rsid w:val="00D22EEF"/>
    <w:rsid w:val="00D43214"/>
    <w:rsid w:val="00D46096"/>
    <w:rsid w:val="00D63112"/>
    <w:rsid w:val="00D63F75"/>
    <w:rsid w:val="00D804FC"/>
    <w:rsid w:val="00D84959"/>
    <w:rsid w:val="00D855D5"/>
    <w:rsid w:val="00D91CAC"/>
    <w:rsid w:val="00D9755F"/>
    <w:rsid w:val="00DA503B"/>
    <w:rsid w:val="00DB1412"/>
    <w:rsid w:val="00DD15AC"/>
    <w:rsid w:val="00DE1D7C"/>
    <w:rsid w:val="00DF76D7"/>
    <w:rsid w:val="00E01409"/>
    <w:rsid w:val="00E06FB4"/>
    <w:rsid w:val="00E07BA8"/>
    <w:rsid w:val="00E07C47"/>
    <w:rsid w:val="00E10DC0"/>
    <w:rsid w:val="00E22DBF"/>
    <w:rsid w:val="00E33631"/>
    <w:rsid w:val="00E35FF9"/>
    <w:rsid w:val="00E66306"/>
    <w:rsid w:val="00E92B14"/>
    <w:rsid w:val="00EA64E7"/>
    <w:rsid w:val="00EB3F9F"/>
    <w:rsid w:val="00EC2BB4"/>
    <w:rsid w:val="00EC6D2E"/>
    <w:rsid w:val="00ED1165"/>
    <w:rsid w:val="00EE04E2"/>
    <w:rsid w:val="00EE71B2"/>
    <w:rsid w:val="00EE74A5"/>
    <w:rsid w:val="00EE74B5"/>
    <w:rsid w:val="00EF0D2B"/>
    <w:rsid w:val="00EF7415"/>
    <w:rsid w:val="00F27F4F"/>
    <w:rsid w:val="00F37E06"/>
    <w:rsid w:val="00F47184"/>
    <w:rsid w:val="00F47F36"/>
    <w:rsid w:val="00F55E54"/>
    <w:rsid w:val="00F61E72"/>
    <w:rsid w:val="00F8160E"/>
    <w:rsid w:val="00F84C50"/>
    <w:rsid w:val="00F9347C"/>
    <w:rsid w:val="00FA2F84"/>
    <w:rsid w:val="00FB12E6"/>
    <w:rsid w:val="00FC04ED"/>
    <w:rsid w:val="00FC208D"/>
    <w:rsid w:val="00FD00CF"/>
    <w:rsid w:val="00FD09B1"/>
    <w:rsid w:val="00FE670C"/>
    <w:rsid w:val="00FF09DD"/>
    <w:rsid w:val="00FF75E0"/>
    <w:rsid w:val="011A5338"/>
    <w:rsid w:val="021A27AB"/>
    <w:rsid w:val="074B5808"/>
    <w:rsid w:val="118C4FD7"/>
    <w:rsid w:val="132121FE"/>
    <w:rsid w:val="13A9034A"/>
    <w:rsid w:val="16287CD9"/>
    <w:rsid w:val="16D8458B"/>
    <w:rsid w:val="18093A82"/>
    <w:rsid w:val="19525008"/>
    <w:rsid w:val="1A645373"/>
    <w:rsid w:val="1BB04CB6"/>
    <w:rsid w:val="1C2B098A"/>
    <w:rsid w:val="1DB06639"/>
    <w:rsid w:val="20C372D5"/>
    <w:rsid w:val="2120638D"/>
    <w:rsid w:val="24502DF4"/>
    <w:rsid w:val="247A69E2"/>
    <w:rsid w:val="277161C5"/>
    <w:rsid w:val="277D40FC"/>
    <w:rsid w:val="28D21782"/>
    <w:rsid w:val="2BC374BB"/>
    <w:rsid w:val="2D247A5C"/>
    <w:rsid w:val="2ED31093"/>
    <w:rsid w:val="2F6C141A"/>
    <w:rsid w:val="2F79229A"/>
    <w:rsid w:val="3040461E"/>
    <w:rsid w:val="33C02C28"/>
    <w:rsid w:val="34C0511B"/>
    <w:rsid w:val="3AE56469"/>
    <w:rsid w:val="3C3A2511"/>
    <w:rsid w:val="3D134C35"/>
    <w:rsid w:val="4092483E"/>
    <w:rsid w:val="41627DF7"/>
    <w:rsid w:val="43072E5B"/>
    <w:rsid w:val="430B03A3"/>
    <w:rsid w:val="439169B6"/>
    <w:rsid w:val="49FC20A1"/>
    <w:rsid w:val="54822B4E"/>
    <w:rsid w:val="55030E3C"/>
    <w:rsid w:val="5B51133C"/>
    <w:rsid w:val="5D881D08"/>
    <w:rsid w:val="62DB48B2"/>
    <w:rsid w:val="63B750A3"/>
    <w:rsid w:val="65A03622"/>
    <w:rsid w:val="66C810D7"/>
    <w:rsid w:val="67CD58A0"/>
    <w:rsid w:val="68B009B5"/>
    <w:rsid w:val="68C60F9C"/>
    <w:rsid w:val="6AB119CF"/>
    <w:rsid w:val="6B860081"/>
    <w:rsid w:val="6CA75186"/>
    <w:rsid w:val="6E194715"/>
    <w:rsid w:val="6EC67CEE"/>
    <w:rsid w:val="6FF944CB"/>
    <w:rsid w:val="73A7076F"/>
    <w:rsid w:val="77EE42EE"/>
    <w:rsid w:val="78417466"/>
    <w:rsid w:val="792B7D7C"/>
    <w:rsid w:val="795F2E4A"/>
    <w:rsid w:val="7A651371"/>
    <w:rsid w:val="7AB428A4"/>
    <w:rsid w:val="7E5E5FD7"/>
    <w:rsid w:val="7F721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560" w:firstLineChars="200"/>
    </w:pPr>
    <w:rPr>
      <w:rFonts w:asciiTheme="minorHAnsi" w:hAnsiTheme="minorHAnsi" w:eastAsiaTheme="minorEastAsia" w:cstheme="minorBidi"/>
      <w:kern w:val="2"/>
      <w:sz w:val="24"/>
      <w:szCs w:val="24"/>
      <w:lang w:val="en-US" w:eastAsia="zh-CN" w:bidi="ar-SA"/>
    </w:rPr>
  </w:style>
  <w:style w:type="paragraph" w:styleId="2">
    <w:name w:val="heading 1"/>
    <w:basedOn w:val="1"/>
    <w:next w:val="1"/>
    <w:autoRedefine/>
    <w:qFormat/>
    <w:uiPriority w:val="0"/>
    <w:pPr>
      <w:keepNext/>
      <w:keepLines/>
      <w:spacing w:line="440" w:lineRule="exact"/>
      <w:ind w:firstLine="0" w:firstLineChars="0"/>
      <w:outlineLvl w:val="0"/>
    </w:pPr>
    <w:rPr>
      <w:rFonts w:ascii="黑体" w:eastAsia="黑体"/>
      <w:b/>
      <w:kern w:val="44"/>
      <w:sz w:val="30"/>
      <w:szCs w:val="30"/>
    </w:rPr>
  </w:style>
  <w:style w:type="paragraph" w:styleId="3">
    <w:name w:val="heading 2"/>
    <w:basedOn w:val="1"/>
    <w:next w:val="1"/>
    <w:autoRedefine/>
    <w:unhideWhenUsed/>
    <w:qFormat/>
    <w:uiPriority w:val="0"/>
    <w:pPr>
      <w:keepNext/>
      <w:keepLines/>
      <w:spacing w:line="416" w:lineRule="auto"/>
      <w:outlineLvl w:val="1"/>
    </w:pPr>
    <w:rPr>
      <w:rFonts w:ascii="Arial" w:hAnsi="Arial" w:eastAsia="黑体"/>
      <w:b/>
      <w:kern w:val="0"/>
      <w:sz w:val="32"/>
      <w:szCs w:val="20"/>
    </w:rPr>
  </w:style>
  <w:style w:type="paragraph" w:styleId="4">
    <w:name w:val="heading 3"/>
    <w:basedOn w:val="1"/>
    <w:next w:val="1"/>
    <w:autoRedefine/>
    <w:unhideWhenUsed/>
    <w:qFormat/>
    <w:uiPriority w:val="0"/>
    <w:pPr>
      <w:keepNext/>
      <w:keepLines/>
      <w:spacing w:line="416" w:lineRule="auto"/>
      <w:outlineLvl w:val="2"/>
    </w:pPr>
    <w:rPr>
      <w:rFonts w:ascii="Times New Roman" w:hAnsi="Times New Roman" w:cs="Times New Roman"/>
      <w:b/>
      <w:bCs/>
      <w:sz w:val="32"/>
      <w:szCs w:val="32"/>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style>
  <w:style w:type="paragraph" w:styleId="6">
    <w:name w:val="Plain Text"/>
    <w:basedOn w:val="1"/>
    <w:link w:val="25"/>
    <w:autoRedefine/>
    <w:qFormat/>
    <w:uiPriority w:val="0"/>
    <w:pPr>
      <w:spacing w:line="240" w:lineRule="auto"/>
      <w:ind w:firstLine="0" w:firstLineChars="0"/>
      <w:jc w:val="both"/>
    </w:pPr>
    <w:rPr>
      <w:rFonts w:ascii="宋体" w:hAnsi="Courier New" w:eastAsia="宋体"/>
      <w:sz w:val="21"/>
      <w:szCs w:val="20"/>
    </w:rPr>
  </w:style>
  <w:style w:type="paragraph" w:styleId="7">
    <w:name w:val="Balloon Text"/>
    <w:basedOn w:val="1"/>
    <w:link w:val="24"/>
    <w:autoRedefine/>
    <w:qFormat/>
    <w:uiPriority w:val="0"/>
    <w:pPr>
      <w:spacing w:line="240" w:lineRule="auto"/>
    </w:pPr>
    <w:rPr>
      <w:sz w:val="18"/>
      <w:szCs w:val="18"/>
    </w:rPr>
  </w:style>
  <w:style w:type="paragraph" w:styleId="8">
    <w:name w:val="footer"/>
    <w:basedOn w:val="1"/>
    <w:autoRedefine/>
    <w:qFormat/>
    <w:uiPriority w:val="0"/>
    <w:pPr>
      <w:tabs>
        <w:tab w:val="center" w:pos="4153"/>
        <w:tab w:val="right" w:pos="8306"/>
      </w:tabs>
      <w:snapToGrid w:val="0"/>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0">
    <w:name w:val="toc 1"/>
    <w:basedOn w:val="1"/>
    <w:next w:val="1"/>
    <w:autoRedefine/>
    <w:qFormat/>
    <w:uiPriority w:val="39"/>
  </w:style>
  <w:style w:type="paragraph" w:styleId="11">
    <w:name w:val="toc 2"/>
    <w:basedOn w:val="1"/>
    <w:next w:val="1"/>
    <w:autoRedefine/>
    <w:qFormat/>
    <w:uiPriority w:val="39"/>
    <w:pPr>
      <w:ind w:left="420" w:left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autoRedefine/>
    <w:qFormat/>
    <w:uiPriority w:val="0"/>
    <w:rPr>
      <w:color w:val="800080"/>
      <w:u w:val="single"/>
    </w:rPr>
  </w:style>
  <w:style w:type="character" w:styleId="16">
    <w:name w:val="Hyperlink"/>
    <w:basedOn w:val="14"/>
    <w:autoRedefine/>
    <w:qFormat/>
    <w:uiPriority w:val="99"/>
    <w:rPr>
      <w:color w:val="000000"/>
      <w:u w:val="none"/>
    </w:rPr>
  </w:style>
  <w:style w:type="character" w:styleId="17">
    <w:name w:val="annotation reference"/>
    <w:basedOn w:val="14"/>
    <w:autoRedefine/>
    <w:qFormat/>
    <w:uiPriority w:val="0"/>
    <w:rPr>
      <w:sz w:val="21"/>
      <w:szCs w:val="21"/>
    </w:rPr>
  </w:style>
  <w:style w:type="paragraph" w:customStyle="1" w:styleId="18">
    <w:name w:val="文本框样式"/>
    <w:basedOn w:val="1"/>
    <w:autoRedefine/>
    <w:qFormat/>
    <w:uiPriority w:val="0"/>
    <w:pPr>
      <w:spacing w:line="240" w:lineRule="auto"/>
      <w:ind w:firstLine="0" w:firstLineChars="0"/>
      <w:jc w:val="center"/>
    </w:pPr>
    <w:rPr>
      <w:rFonts w:ascii="Times New Roman" w:hAnsi="Times New Roman" w:eastAsia="宋体"/>
      <w:sz w:val="21"/>
    </w:rPr>
  </w:style>
  <w:style w:type="paragraph" w:customStyle="1" w:styleId="19">
    <w:name w:val="表格、图表名称"/>
    <w:basedOn w:val="1"/>
    <w:autoRedefine/>
    <w:qFormat/>
    <w:uiPriority w:val="0"/>
    <w:pPr>
      <w:ind w:firstLine="0" w:firstLineChars="0"/>
      <w:jc w:val="center"/>
    </w:pPr>
    <w:rPr>
      <w:b/>
      <w:kern w:val="0"/>
      <w:szCs w:val="22"/>
    </w:rPr>
  </w:style>
  <w:style w:type="paragraph" w:customStyle="1" w:styleId="20">
    <w:name w:val="三级标题"/>
    <w:basedOn w:val="4"/>
    <w:next w:val="1"/>
    <w:autoRedefine/>
    <w:qFormat/>
    <w:uiPriority w:val="0"/>
    <w:pPr>
      <w:spacing w:beforeLines="50" w:afterLines="50" w:line="360" w:lineRule="auto"/>
      <w:ind w:firstLine="0" w:firstLineChars="0"/>
    </w:pPr>
    <w:rPr>
      <w:rFonts w:eastAsia="宋体"/>
      <w:sz w:val="24"/>
    </w:rPr>
  </w:style>
  <w:style w:type="paragraph" w:customStyle="1" w:styleId="21">
    <w:name w:val="二级标题"/>
    <w:basedOn w:val="3"/>
    <w:next w:val="1"/>
    <w:qFormat/>
    <w:uiPriority w:val="0"/>
    <w:pPr>
      <w:spacing w:beforeLines="50" w:afterLines="50" w:line="360" w:lineRule="auto"/>
      <w:ind w:firstLine="0" w:firstLineChars="0"/>
    </w:pPr>
    <w:rPr>
      <w:rFonts w:ascii="Times New Roman" w:hAnsi="Times New Roman" w:eastAsia="宋体"/>
      <w:sz w:val="30"/>
    </w:rPr>
  </w:style>
  <w:style w:type="paragraph" w:customStyle="1" w:styleId="22">
    <w:name w:val="一级标题"/>
    <w:basedOn w:val="2"/>
    <w:next w:val="1"/>
    <w:autoRedefine/>
    <w:qFormat/>
    <w:uiPriority w:val="0"/>
    <w:pPr>
      <w:spacing w:line="360" w:lineRule="auto"/>
      <w:jc w:val="center"/>
    </w:pPr>
    <w:rPr>
      <w:rFonts w:ascii="Times New Roman" w:hAnsi="Times New Roman" w:eastAsia="宋体"/>
      <w:sz w:val="36"/>
    </w:rPr>
  </w:style>
  <w:style w:type="paragraph" w:customStyle="1" w:styleId="23">
    <w:name w:val="表头"/>
    <w:basedOn w:val="1"/>
    <w:autoRedefine/>
    <w:qFormat/>
    <w:uiPriority w:val="0"/>
    <w:pPr>
      <w:spacing w:line="240" w:lineRule="auto"/>
      <w:ind w:firstLine="0" w:firstLineChars="0"/>
      <w:jc w:val="center"/>
    </w:pPr>
    <w:rPr>
      <w:color w:val="000000"/>
      <w:szCs w:val="20"/>
    </w:rPr>
  </w:style>
  <w:style w:type="character" w:customStyle="1" w:styleId="24">
    <w:name w:val="批注框文本 Char"/>
    <w:basedOn w:val="14"/>
    <w:link w:val="7"/>
    <w:autoRedefine/>
    <w:qFormat/>
    <w:uiPriority w:val="0"/>
    <w:rPr>
      <w:kern w:val="2"/>
      <w:sz w:val="18"/>
      <w:szCs w:val="18"/>
    </w:rPr>
  </w:style>
  <w:style w:type="character" w:customStyle="1" w:styleId="25">
    <w:name w:val="纯文本 Char"/>
    <w:link w:val="6"/>
    <w:autoRedefine/>
    <w:qFormat/>
    <w:locked/>
    <w:uiPriority w:val="0"/>
    <w:rPr>
      <w:rFonts w:ascii="宋体" w:hAnsi="Courier New" w:eastAsia="宋体"/>
      <w:kern w:val="2"/>
      <w:sz w:val="21"/>
    </w:rPr>
  </w:style>
  <w:style w:type="character" w:customStyle="1" w:styleId="26">
    <w:name w:val="纯文本 Char1"/>
    <w:basedOn w:val="14"/>
    <w:autoRedefine/>
    <w:qFormat/>
    <w:uiPriority w:val="0"/>
    <w:rPr>
      <w:rFonts w:ascii="宋体" w:hAnsi="Courier New" w:eastAsia="宋体"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Company>
  <Pages>13</Pages>
  <Words>2784</Words>
  <Characters>3228</Characters>
  <Lines>30</Lines>
  <Paragraphs>8</Paragraphs>
  <TotalTime>1</TotalTime>
  <ScaleCrop>false</ScaleCrop>
  <LinksUpToDate>false</LinksUpToDate>
  <CharactersWithSpaces>3252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2018-08-01T07:17:00Z</dcterms:created>
  <dc:creator>yang</dc:creator>
  <cp:lastModifiedBy>蓝盾环保</cp:lastModifiedBy>
  <cp:lastPrinted>2019-10-28T06:56:00Z</cp:lastPrinted>
  <dcterms:modified xsi:type="dcterms:W3CDTF">2025-10-16T07:03:38Z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1AD491B7346F4D9A8F3A134486FB7ED2_13</vt:lpwstr>
  </property>
  <property fmtid="{D5CDD505-2E9C-101B-9397-08002B2CF9AE}" pid="4" name="KSOTemplateDocerSaveRecord">
    <vt:lpwstr>eyJoZGlkIjoiYjdmYWQ1MzNhNjIyNGU5ZjY1Y2M1MWM5MzBlMjFiMzciLCJ1c2VySWQiOiI1Mjk1NTU2NDcifQ==</vt:lpwstr>
  </property>
</Properties>
</file>